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thumbnail" Target="docProps/thumbnail.jpeg"/>
  <Relationship Id="rId3" Type="http://schemas.openxmlformats.org/package/2006/relationships/metadata/core-properties" Target="docProps/core.xml"/>
  <Relationship Id="rId4" Type="http://schemas.openxmlformats.org/officeDocument/2006/relationships/extended-properties" Target="docProps/app.xml"/>
</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9481F4" w14:textId="1F08BC0E" w:rsidR="00393973" w:rsidRPr="00B10812" w:rsidRDefault="001C20EB" w:rsidP="00393973">
      <w:pPr>
        <w:jc w:val="center"/>
        <w:rPr>
          <w:rFonts w:ascii="Arial" w:hAnsi="Arial" w:cs="Arial"/>
          <w:b/>
          <w:sz w:val="28"/>
          <w:szCs w:val="28"/>
        </w:rPr>
      </w:pPr>
      <w:r>
        <w:rPr>
          <w:rFonts w:ascii="Arial" w:hAnsi="Arial" w:cs="Arial"/>
          <w:b/>
          <w:sz w:val="28"/>
          <w:szCs w:val="28"/>
        </w:rPr>
        <w:t xml:space="preserve">Public Briefing </w:t>
      </w:r>
      <w:r w:rsidR="00393973" w:rsidRPr="00B10812">
        <w:rPr>
          <w:rFonts w:ascii="Arial" w:hAnsi="Arial" w:cs="Arial"/>
          <w:b/>
          <w:sz w:val="28"/>
          <w:szCs w:val="28"/>
        </w:rPr>
        <w:t>Presentation on the Report Entitled</w:t>
      </w:r>
    </w:p>
    <w:p w14:paraId="564A3D5D" w14:textId="77777777" w:rsidR="00393973" w:rsidRPr="00B10812" w:rsidRDefault="00393973" w:rsidP="00393973">
      <w:pPr>
        <w:jc w:val="center"/>
        <w:rPr>
          <w:rFonts w:ascii="Arial" w:hAnsi="Arial" w:cs="Arial"/>
          <w:b/>
          <w:sz w:val="28"/>
          <w:szCs w:val="28"/>
        </w:rPr>
      </w:pPr>
      <w:r w:rsidRPr="00B10812">
        <w:rPr>
          <w:rFonts w:ascii="Arial" w:hAnsi="Arial" w:cs="Arial"/>
          <w:b/>
          <w:sz w:val="28"/>
          <w:szCs w:val="28"/>
        </w:rPr>
        <w:t>Annual Report on the Massachusetts Health Care Market</w:t>
      </w:r>
    </w:p>
    <w:p w14:paraId="7920FCD0" w14:textId="65EC075B" w:rsidR="00393973" w:rsidRPr="00E206C2" w:rsidRDefault="00E206C2" w:rsidP="00E206C2">
      <w:pPr>
        <w:jc w:val="center"/>
        <w:rPr>
          <w:rFonts w:ascii="Arial" w:hAnsi="Arial" w:cs="Arial"/>
          <w:sz w:val="28"/>
          <w:szCs w:val="28"/>
        </w:rPr>
      </w:pPr>
      <w:r w:rsidRPr="00E206C2">
        <w:rPr>
          <w:rFonts w:ascii="Arial" w:hAnsi="Arial" w:cs="Arial"/>
          <w:sz w:val="28"/>
          <w:szCs w:val="28"/>
        </w:rPr>
        <w:t>August 2013</w:t>
      </w:r>
    </w:p>
    <w:p w14:paraId="6A08CD2E" w14:textId="77777777" w:rsidR="009550FD" w:rsidRDefault="009550FD"/>
    <w:p w14:paraId="018FA436" w14:textId="70F3FE6B" w:rsidR="007D2B73" w:rsidRDefault="007D2B73">
      <w:r>
        <w:t xml:space="preserve">A note about this </w:t>
      </w:r>
      <w:r w:rsidR="00AE1ABF">
        <w:t>document</w:t>
      </w:r>
      <w:r>
        <w:t xml:space="preserve">: the slides conveyed in the </w:t>
      </w:r>
      <w:r w:rsidR="00393973">
        <w:t>correspond</w:t>
      </w:r>
      <w:r>
        <w:t xml:space="preserve">ing PowerPoint </w:t>
      </w:r>
      <w:r w:rsidR="00393973">
        <w:t xml:space="preserve">presentation were presented by </w:t>
      </w:r>
      <w:r w:rsidR="00393973" w:rsidRPr="00393973">
        <w:t>Á</w:t>
      </w:r>
      <w:r>
        <w:t>ron Boros, Executive Director, Center for Health Information and Analysis on Wednesday, August 14, 2013 at a public briefing on the agency’s report entitled “Annual Report on the Massach</w:t>
      </w:r>
      <w:r w:rsidR="00393973">
        <w:t>usetts Health Care Market.” This document conveys</w:t>
      </w:r>
      <w:r>
        <w:t xml:space="preserve"> the text</w:t>
      </w:r>
      <w:r w:rsidR="00393973">
        <w:t xml:space="preserve"> of the </w:t>
      </w:r>
      <w:r w:rsidR="00C07BA6">
        <w:t xml:space="preserve">voice </w:t>
      </w:r>
      <w:r w:rsidR="00393973">
        <w:t xml:space="preserve">narration added to the corresponding slide presentation. The slide presentation </w:t>
      </w:r>
      <w:r w:rsidR="009550FD">
        <w:t xml:space="preserve">with narration </w:t>
      </w:r>
      <w:r w:rsidR="00393973">
        <w:t xml:space="preserve">is available online at </w:t>
      </w:r>
      <w:hyperlink r:id="rId7" w:history="1">
        <w:r w:rsidR="00393973" w:rsidRPr="00393973">
          <w:rPr>
            <w:rStyle w:val="Hyperlink"/>
          </w:rPr>
          <w:t>http://www.mass.gov/chia</w:t>
        </w:r>
      </w:hyperlink>
      <w:r w:rsidR="00393973">
        <w:t>.</w:t>
      </w:r>
    </w:p>
    <w:p w14:paraId="7E9B6DC6" w14:textId="77777777" w:rsidR="007D2B73" w:rsidRDefault="007D2B73"/>
    <w:p w14:paraId="76D9705F" w14:textId="77777777" w:rsidR="00254C3F" w:rsidRDefault="00254C3F"/>
    <w:p w14:paraId="60DF866F" w14:textId="77777777" w:rsidR="00C304D3" w:rsidRDefault="00C304D3"/>
    <w:p w14:paraId="5A4F6D39" w14:textId="77777777" w:rsidR="009550FD" w:rsidRPr="001704F7" w:rsidRDefault="007D2B73">
      <w:pPr>
        <w:rPr>
          <w:b/>
          <w:color w:val="008000"/>
          <w:sz w:val="28"/>
          <w:szCs w:val="28"/>
        </w:rPr>
      </w:pPr>
      <w:r w:rsidRPr="001704F7">
        <w:rPr>
          <w:b/>
          <w:color w:val="008000"/>
          <w:sz w:val="28"/>
          <w:szCs w:val="28"/>
        </w:rPr>
        <w:t>Slide 1</w:t>
      </w:r>
      <w:r w:rsidR="00EB7E4F" w:rsidRPr="001704F7">
        <w:rPr>
          <w:b/>
          <w:color w:val="008000"/>
          <w:sz w:val="28"/>
          <w:szCs w:val="28"/>
        </w:rPr>
        <w:t xml:space="preserve"> Title</w:t>
      </w:r>
      <w:r w:rsidRPr="001704F7">
        <w:rPr>
          <w:b/>
          <w:color w:val="008000"/>
          <w:sz w:val="28"/>
          <w:szCs w:val="28"/>
        </w:rPr>
        <w:t>:</w:t>
      </w:r>
      <w:r w:rsidR="009550FD" w:rsidRPr="001704F7">
        <w:rPr>
          <w:b/>
          <w:color w:val="008000"/>
          <w:sz w:val="28"/>
          <w:szCs w:val="28"/>
        </w:rPr>
        <w:t xml:space="preserve"> </w:t>
      </w:r>
    </w:p>
    <w:p w14:paraId="3C1A807C" w14:textId="5F82ED4E" w:rsidR="009550FD" w:rsidRPr="001704F7" w:rsidRDefault="009550FD">
      <w:pPr>
        <w:rPr>
          <w:b/>
          <w:color w:val="1F497D" w:themeColor="text2"/>
          <w:sz w:val="28"/>
          <w:szCs w:val="28"/>
        </w:rPr>
      </w:pPr>
      <w:r w:rsidRPr="001704F7">
        <w:rPr>
          <w:b/>
          <w:color w:val="1F497D" w:themeColor="text2"/>
          <w:sz w:val="28"/>
          <w:szCs w:val="28"/>
        </w:rPr>
        <w:t>A</w:t>
      </w:r>
      <w:r w:rsidR="007D2B73" w:rsidRPr="001704F7">
        <w:rPr>
          <w:b/>
          <w:color w:val="1F497D" w:themeColor="text2"/>
          <w:sz w:val="28"/>
          <w:szCs w:val="28"/>
        </w:rPr>
        <w:t>nnual Report on the Massachusetts Health Care Market</w:t>
      </w:r>
      <w:bookmarkStart w:id="0" w:name="_GoBack"/>
      <w:bookmarkEnd w:id="0"/>
    </w:p>
    <w:p w14:paraId="5FBFFB3F" w14:textId="77777777" w:rsidR="009550FD" w:rsidRPr="00E3369A" w:rsidRDefault="009550FD">
      <w:pPr>
        <w:rPr>
          <w:b/>
        </w:rPr>
      </w:pPr>
    </w:p>
    <w:p w14:paraId="3A70EAE5" w14:textId="64A25DEE" w:rsidR="007D2B73" w:rsidRPr="001704F7" w:rsidRDefault="00D61389">
      <w:pPr>
        <w:rPr>
          <w:b/>
          <w:color w:val="008000"/>
          <w:sz w:val="28"/>
          <w:szCs w:val="28"/>
        </w:rPr>
      </w:pPr>
      <w:r w:rsidRPr="001704F7">
        <w:rPr>
          <w:b/>
          <w:color w:val="008000"/>
          <w:sz w:val="28"/>
          <w:szCs w:val="28"/>
        </w:rPr>
        <w:t>Slide 1</w:t>
      </w:r>
      <w:r w:rsidR="009550FD" w:rsidRPr="001704F7">
        <w:rPr>
          <w:b/>
          <w:color w:val="008000"/>
          <w:sz w:val="28"/>
          <w:szCs w:val="28"/>
        </w:rPr>
        <w:t xml:space="preserve"> </w:t>
      </w:r>
      <w:r w:rsidR="00261B23">
        <w:rPr>
          <w:b/>
          <w:color w:val="008000"/>
          <w:sz w:val="28"/>
          <w:szCs w:val="28"/>
        </w:rPr>
        <w:t>Narration</w:t>
      </w:r>
      <w:r w:rsidR="007D2B73" w:rsidRPr="001704F7">
        <w:rPr>
          <w:b/>
          <w:color w:val="008000"/>
          <w:sz w:val="28"/>
          <w:szCs w:val="28"/>
        </w:rPr>
        <w:t>:</w:t>
      </w:r>
    </w:p>
    <w:p w14:paraId="1E433BE3" w14:textId="77777777" w:rsidR="009550FD" w:rsidRPr="00AE1ABF" w:rsidRDefault="009550FD" w:rsidP="007D2B73">
      <w:pPr>
        <w:rPr>
          <w:sz w:val="28"/>
          <w:szCs w:val="28"/>
        </w:rPr>
      </w:pPr>
    </w:p>
    <w:p w14:paraId="18F030C8" w14:textId="7DF15040" w:rsidR="007D2B73" w:rsidRPr="00AE1ABF" w:rsidRDefault="007D2B73" w:rsidP="007D2B73">
      <w:pPr>
        <w:rPr>
          <w:sz w:val="28"/>
          <w:szCs w:val="28"/>
        </w:rPr>
      </w:pPr>
      <w:r w:rsidRPr="00AE1ABF">
        <w:rPr>
          <w:sz w:val="28"/>
          <w:szCs w:val="28"/>
        </w:rPr>
        <w:t xml:space="preserve">This is the Center for Health Information and Analysis’ briefing on its first </w:t>
      </w:r>
      <w:r w:rsidR="000F5484" w:rsidRPr="00AE1ABF">
        <w:rPr>
          <w:sz w:val="28"/>
          <w:szCs w:val="28"/>
        </w:rPr>
        <w:t>“</w:t>
      </w:r>
      <w:r w:rsidRPr="00AE1ABF">
        <w:rPr>
          <w:iCs/>
          <w:sz w:val="28"/>
          <w:szCs w:val="28"/>
        </w:rPr>
        <w:t>Annual Report on the Massachusetts Health Care Market</w:t>
      </w:r>
      <w:r w:rsidRPr="00AE1ABF">
        <w:rPr>
          <w:sz w:val="28"/>
          <w:szCs w:val="28"/>
        </w:rPr>
        <w:t>.</w:t>
      </w:r>
      <w:r w:rsidR="000F5484" w:rsidRPr="00AE1ABF">
        <w:rPr>
          <w:sz w:val="28"/>
          <w:szCs w:val="28"/>
        </w:rPr>
        <w:t>”</w:t>
      </w:r>
    </w:p>
    <w:p w14:paraId="065F7EB1" w14:textId="77777777" w:rsidR="007D2B73" w:rsidRDefault="007D2B73">
      <w:pPr>
        <w:rPr>
          <w:sz w:val="28"/>
          <w:szCs w:val="28"/>
        </w:rPr>
      </w:pPr>
    </w:p>
    <w:p w14:paraId="7D5538F8" w14:textId="77777777" w:rsidR="00615CDD" w:rsidRPr="001704F7" w:rsidRDefault="00615CDD">
      <w:pPr>
        <w:rPr>
          <w:color w:val="008000"/>
          <w:sz w:val="28"/>
          <w:szCs w:val="28"/>
        </w:rPr>
      </w:pPr>
    </w:p>
    <w:p w14:paraId="739E74BE" w14:textId="1518BAAA" w:rsidR="008E508F" w:rsidRPr="001704F7" w:rsidRDefault="007D2B73" w:rsidP="007D2B73">
      <w:pPr>
        <w:rPr>
          <w:b/>
          <w:color w:val="008000"/>
          <w:sz w:val="28"/>
          <w:szCs w:val="28"/>
        </w:rPr>
      </w:pPr>
      <w:r w:rsidRPr="001704F7">
        <w:rPr>
          <w:b/>
          <w:color w:val="008000"/>
          <w:sz w:val="28"/>
          <w:szCs w:val="28"/>
        </w:rPr>
        <w:t xml:space="preserve">Slide </w:t>
      </w:r>
      <w:r w:rsidR="00EB7E4F" w:rsidRPr="001704F7">
        <w:rPr>
          <w:b/>
          <w:color w:val="008000"/>
          <w:sz w:val="28"/>
          <w:szCs w:val="28"/>
        </w:rPr>
        <w:t>2 Title</w:t>
      </w:r>
      <w:r w:rsidRPr="001704F7">
        <w:rPr>
          <w:b/>
          <w:color w:val="008000"/>
          <w:sz w:val="28"/>
          <w:szCs w:val="28"/>
        </w:rPr>
        <w:t>:</w:t>
      </w:r>
      <w:r w:rsidRPr="001704F7">
        <w:rPr>
          <w:color w:val="008000"/>
          <w:sz w:val="28"/>
          <w:szCs w:val="28"/>
        </w:rPr>
        <w:t xml:space="preserve"> </w:t>
      </w:r>
    </w:p>
    <w:p w14:paraId="25653F62" w14:textId="105A64CB" w:rsidR="009550FD" w:rsidRPr="001704F7" w:rsidRDefault="007D2B73" w:rsidP="007D2B73">
      <w:pPr>
        <w:rPr>
          <w:b/>
          <w:color w:val="1F497D" w:themeColor="text2"/>
          <w:sz w:val="28"/>
          <w:szCs w:val="28"/>
        </w:rPr>
      </w:pPr>
      <w:r w:rsidRPr="001704F7">
        <w:rPr>
          <w:b/>
          <w:color w:val="1F497D" w:themeColor="text2"/>
          <w:sz w:val="28"/>
          <w:szCs w:val="28"/>
        </w:rPr>
        <w:t xml:space="preserve">This Annual Report is part of a larger monitoring and </w:t>
      </w:r>
      <w:r w:rsidR="00615CDD" w:rsidRPr="001704F7">
        <w:rPr>
          <w:b/>
          <w:color w:val="1F497D" w:themeColor="text2"/>
          <w:sz w:val="28"/>
          <w:szCs w:val="28"/>
        </w:rPr>
        <w:br/>
      </w:r>
      <w:r w:rsidRPr="001704F7">
        <w:rPr>
          <w:b/>
          <w:color w:val="1F497D" w:themeColor="text2"/>
          <w:sz w:val="28"/>
          <w:szCs w:val="28"/>
        </w:rPr>
        <w:t>cost containment effort</w:t>
      </w:r>
      <w:r w:rsidR="00EB7E4F" w:rsidRPr="001704F7">
        <w:rPr>
          <w:b/>
          <w:color w:val="1F497D" w:themeColor="text2"/>
          <w:sz w:val="28"/>
          <w:szCs w:val="28"/>
        </w:rPr>
        <w:t>.</w:t>
      </w:r>
    </w:p>
    <w:p w14:paraId="31B842FA" w14:textId="70BDC4B3" w:rsidR="00615CDD" w:rsidRDefault="00615CDD" w:rsidP="007D2B73">
      <w:pPr>
        <w:rPr>
          <w:b/>
          <w:sz w:val="28"/>
          <w:szCs w:val="28"/>
        </w:rPr>
      </w:pPr>
      <w:r w:rsidRPr="00AE1ABF">
        <w:rPr>
          <w:noProof/>
        </w:rPr>
        <w:drawing>
          <wp:inline distT="0" distB="0" distL="0" distR="0" wp14:anchorId="3B300907" wp14:editId="74B373EC">
            <wp:extent cx="5943600" cy="32619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261995"/>
                    </a:xfrm>
                    <a:prstGeom prst="rect">
                      <a:avLst/>
                    </a:prstGeom>
                    <a:noFill/>
                    <a:ln>
                      <a:noFill/>
                    </a:ln>
                  </pic:spPr>
                </pic:pic>
              </a:graphicData>
            </a:graphic>
          </wp:inline>
        </w:drawing>
      </w:r>
    </w:p>
    <w:p w14:paraId="1C3096BC" w14:textId="72C362CB" w:rsidR="007D2B73" w:rsidRPr="000151E7" w:rsidRDefault="00D61389" w:rsidP="007D2B73">
      <w:pPr>
        <w:rPr>
          <w:b/>
          <w:color w:val="008000"/>
          <w:sz w:val="28"/>
          <w:szCs w:val="28"/>
        </w:rPr>
      </w:pPr>
      <w:r w:rsidRPr="000151E7">
        <w:rPr>
          <w:b/>
          <w:color w:val="008000"/>
          <w:sz w:val="28"/>
          <w:szCs w:val="28"/>
        </w:rPr>
        <w:lastRenderedPageBreak/>
        <w:t xml:space="preserve">Slide 2 </w:t>
      </w:r>
      <w:r w:rsidR="00261B23">
        <w:rPr>
          <w:b/>
          <w:color w:val="008000"/>
          <w:sz w:val="28"/>
          <w:szCs w:val="28"/>
        </w:rPr>
        <w:t>Narration</w:t>
      </w:r>
      <w:r w:rsidR="007D2B73" w:rsidRPr="000151E7">
        <w:rPr>
          <w:b/>
          <w:color w:val="008000"/>
          <w:sz w:val="28"/>
          <w:szCs w:val="28"/>
        </w:rPr>
        <w:t>:</w:t>
      </w:r>
    </w:p>
    <w:p w14:paraId="383D6865" w14:textId="77777777" w:rsidR="009550FD" w:rsidRPr="00AE1ABF" w:rsidRDefault="009550FD" w:rsidP="007D2B73">
      <w:pPr>
        <w:rPr>
          <w:sz w:val="28"/>
          <w:szCs w:val="28"/>
        </w:rPr>
      </w:pPr>
    </w:p>
    <w:p w14:paraId="0F1375C1" w14:textId="77777777" w:rsidR="007D2B73" w:rsidRPr="00AE1ABF" w:rsidRDefault="007D2B73" w:rsidP="007D2B73">
      <w:pPr>
        <w:rPr>
          <w:sz w:val="28"/>
          <w:szCs w:val="28"/>
        </w:rPr>
      </w:pPr>
      <w:r w:rsidRPr="00AE1ABF">
        <w:rPr>
          <w:sz w:val="28"/>
          <w:szCs w:val="28"/>
        </w:rPr>
        <w:t>Last summer’s cost containment bill, Chapter 224 of the Acts of 2012, created two new state agencies – the Center for Health Information and Analysis (or “CHIA”) and the Health Policy Commission – and gave specific new responsibilities to a number of other state agencies. Among other responsibilities, CHIA is charged with monitoring the effects of health reform on the Massachusetts Health Care Market. We work in coordination with the Office of the Attorney General and the Health Policy Commission to carry out this task.</w:t>
      </w:r>
    </w:p>
    <w:p w14:paraId="78991D37" w14:textId="77777777" w:rsidR="007D2B73" w:rsidRPr="00AE1ABF" w:rsidRDefault="007D2B73" w:rsidP="007D2B73">
      <w:pPr>
        <w:rPr>
          <w:sz w:val="28"/>
          <w:szCs w:val="28"/>
        </w:rPr>
      </w:pPr>
      <w:r w:rsidRPr="00AE1ABF">
        <w:rPr>
          <w:sz w:val="28"/>
          <w:szCs w:val="28"/>
        </w:rPr>
        <w:t xml:space="preserve"> </w:t>
      </w:r>
    </w:p>
    <w:p w14:paraId="2502B859" w14:textId="77777777" w:rsidR="007D2B73" w:rsidRPr="00AE1ABF" w:rsidRDefault="007D2B73" w:rsidP="007D2B73">
      <w:pPr>
        <w:rPr>
          <w:sz w:val="28"/>
          <w:szCs w:val="28"/>
        </w:rPr>
      </w:pPr>
      <w:r w:rsidRPr="00AE1ABF">
        <w:rPr>
          <w:sz w:val="28"/>
          <w:szCs w:val="28"/>
        </w:rPr>
        <w:t xml:space="preserve"> The Office of the Attorney General published its annual Examination of Health Care Cost Trends and Cost Drivers report this past April. That volume, plus this Annual Report will serve as the basis for the Health Policy Commission’s Cost Trends Hearings on October 1st and 2nd. The Health Policy Commission will complete the annual cycle of this examination with its own annual report at the end of this year. </w:t>
      </w:r>
    </w:p>
    <w:p w14:paraId="7467016D" w14:textId="77777777" w:rsidR="007D2B73" w:rsidRPr="00AE1ABF" w:rsidRDefault="007D2B73" w:rsidP="007D2B73">
      <w:pPr>
        <w:rPr>
          <w:sz w:val="28"/>
          <w:szCs w:val="28"/>
        </w:rPr>
      </w:pPr>
      <w:r w:rsidRPr="00AE1ABF">
        <w:rPr>
          <w:sz w:val="28"/>
          <w:szCs w:val="28"/>
        </w:rPr>
        <w:t xml:space="preserve"> </w:t>
      </w:r>
    </w:p>
    <w:p w14:paraId="2EAE9D4C" w14:textId="77777777" w:rsidR="007D2B73" w:rsidRPr="00AE1ABF" w:rsidRDefault="007D2B73" w:rsidP="007D2B73">
      <w:pPr>
        <w:rPr>
          <w:sz w:val="28"/>
          <w:szCs w:val="28"/>
        </w:rPr>
      </w:pPr>
      <w:r w:rsidRPr="00AE1ABF">
        <w:rPr>
          <w:sz w:val="28"/>
          <w:szCs w:val="28"/>
        </w:rPr>
        <w:t xml:space="preserve"> CHIA strives to provide a reliable, meaningful overview of the health care market in Massachusetts. We see our role as being the agency of record - or “the hub”- for the Commonwealth’s health care data. </w:t>
      </w:r>
    </w:p>
    <w:p w14:paraId="7BD53942" w14:textId="77777777" w:rsidR="007D2B73" w:rsidRPr="00AE1ABF" w:rsidRDefault="007D2B73" w:rsidP="007D2B73">
      <w:pPr>
        <w:rPr>
          <w:sz w:val="28"/>
          <w:szCs w:val="28"/>
        </w:rPr>
      </w:pPr>
      <w:r w:rsidRPr="00AE1ABF">
        <w:rPr>
          <w:sz w:val="28"/>
          <w:szCs w:val="28"/>
        </w:rPr>
        <w:t xml:space="preserve"> </w:t>
      </w:r>
    </w:p>
    <w:p w14:paraId="3E029236" w14:textId="77777777" w:rsidR="007D2B73" w:rsidRPr="00AE1ABF" w:rsidRDefault="007D2B73" w:rsidP="007D2B73">
      <w:pPr>
        <w:rPr>
          <w:sz w:val="28"/>
          <w:szCs w:val="28"/>
        </w:rPr>
      </w:pPr>
      <w:r w:rsidRPr="00AE1ABF">
        <w:rPr>
          <w:sz w:val="28"/>
          <w:szCs w:val="28"/>
        </w:rPr>
        <w:t xml:space="preserve"> Our Annual Report has three main sections focusing on the following themes:</w:t>
      </w:r>
    </w:p>
    <w:p w14:paraId="03AFF790" w14:textId="77777777" w:rsidR="007D2B73" w:rsidRPr="00AE1ABF" w:rsidRDefault="007D2B73" w:rsidP="000F5484">
      <w:pPr>
        <w:rPr>
          <w:sz w:val="28"/>
          <w:szCs w:val="28"/>
        </w:rPr>
      </w:pPr>
      <w:r w:rsidRPr="00AE1ABF">
        <w:rPr>
          <w:sz w:val="28"/>
          <w:szCs w:val="28"/>
        </w:rPr>
        <w:t xml:space="preserve"> Coverage and Premiums; </w:t>
      </w:r>
    </w:p>
    <w:p w14:paraId="10B90FE7" w14:textId="77777777" w:rsidR="007D2B73" w:rsidRPr="00AE1ABF" w:rsidRDefault="007D2B73" w:rsidP="000F5484">
      <w:pPr>
        <w:rPr>
          <w:sz w:val="28"/>
          <w:szCs w:val="28"/>
        </w:rPr>
      </w:pPr>
      <w:r w:rsidRPr="00AE1ABF">
        <w:rPr>
          <w:sz w:val="28"/>
          <w:szCs w:val="28"/>
        </w:rPr>
        <w:t xml:space="preserve"> Payers’ Use of Premium Dollars; and </w:t>
      </w:r>
    </w:p>
    <w:p w14:paraId="26A3DA6D" w14:textId="77777777" w:rsidR="007D2B73" w:rsidRPr="00AE1ABF" w:rsidRDefault="007D2B73" w:rsidP="000F5484">
      <w:pPr>
        <w:rPr>
          <w:sz w:val="28"/>
          <w:szCs w:val="28"/>
        </w:rPr>
      </w:pPr>
      <w:r w:rsidRPr="00AE1ABF">
        <w:rPr>
          <w:sz w:val="28"/>
          <w:szCs w:val="28"/>
        </w:rPr>
        <w:t xml:space="preserve"> Medical Payments to Providers.</w:t>
      </w:r>
    </w:p>
    <w:p w14:paraId="76FF4257" w14:textId="77777777" w:rsidR="007D2B73" w:rsidRPr="00AE1ABF" w:rsidRDefault="007D2B73" w:rsidP="007D2B73">
      <w:pPr>
        <w:rPr>
          <w:sz w:val="28"/>
          <w:szCs w:val="28"/>
        </w:rPr>
      </w:pPr>
      <w:r w:rsidRPr="00AE1ABF">
        <w:rPr>
          <w:sz w:val="28"/>
          <w:szCs w:val="28"/>
        </w:rPr>
        <w:t xml:space="preserve"> </w:t>
      </w:r>
    </w:p>
    <w:p w14:paraId="39A0ED08" w14:textId="77777777" w:rsidR="007D2B73" w:rsidRPr="00AE1ABF" w:rsidRDefault="007D2B73" w:rsidP="007D2B73">
      <w:pPr>
        <w:rPr>
          <w:sz w:val="28"/>
          <w:szCs w:val="28"/>
        </w:rPr>
      </w:pPr>
      <w:r w:rsidRPr="00AE1ABF">
        <w:rPr>
          <w:sz w:val="28"/>
          <w:szCs w:val="28"/>
        </w:rPr>
        <w:t xml:space="preserve"> The Annual Report focuses exclusively on the commercial insurance market. CHIA will publish a more in-depth look at the public healthcare system, including Medicare and Medicaid, in 2014.</w:t>
      </w:r>
    </w:p>
    <w:p w14:paraId="63E67E82" w14:textId="77777777" w:rsidR="00393973" w:rsidRPr="00AE1ABF" w:rsidRDefault="00393973">
      <w:pPr>
        <w:rPr>
          <w:sz w:val="28"/>
          <w:szCs w:val="28"/>
        </w:rPr>
      </w:pPr>
    </w:p>
    <w:p w14:paraId="23AEA0A2" w14:textId="77777777" w:rsidR="00615CDD" w:rsidRDefault="00615CDD">
      <w:pPr>
        <w:rPr>
          <w:b/>
          <w:color w:val="0000FF"/>
          <w:sz w:val="28"/>
          <w:szCs w:val="28"/>
        </w:rPr>
      </w:pPr>
      <w:r>
        <w:rPr>
          <w:b/>
          <w:color w:val="0000FF"/>
          <w:sz w:val="28"/>
          <w:szCs w:val="28"/>
        </w:rPr>
        <w:br w:type="page"/>
      </w:r>
    </w:p>
    <w:p w14:paraId="32D43AAE" w14:textId="47D724E1" w:rsidR="008E508F" w:rsidRPr="000151E7" w:rsidRDefault="007D2B73" w:rsidP="007D2B73">
      <w:pPr>
        <w:rPr>
          <w:color w:val="008000"/>
          <w:sz w:val="28"/>
          <w:szCs w:val="28"/>
        </w:rPr>
      </w:pPr>
      <w:r w:rsidRPr="000151E7">
        <w:rPr>
          <w:b/>
          <w:color w:val="008000"/>
          <w:sz w:val="28"/>
          <w:szCs w:val="28"/>
        </w:rPr>
        <w:lastRenderedPageBreak/>
        <w:t>Slide 3</w:t>
      </w:r>
      <w:r w:rsidR="00EB7E4F" w:rsidRPr="000151E7">
        <w:rPr>
          <w:b/>
          <w:color w:val="008000"/>
          <w:sz w:val="28"/>
          <w:szCs w:val="28"/>
        </w:rPr>
        <w:t xml:space="preserve"> Title</w:t>
      </w:r>
      <w:r w:rsidRPr="000151E7">
        <w:rPr>
          <w:b/>
          <w:color w:val="008000"/>
          <w:sz w:val="28"/>
          <w:szCs w:val="28"/>
        </w:rPr>
        <w:t>:</w:t>
      </w:r>
      <w:r w:rsidRPr="000151E7">
        <w:rPr>
          <w:color w:val="008000"/>
          <w:sz w:val="28"/>
          <w:szCs w:val="28"/>
        </w:rPr>
        <w:t xml:space="preserve"> </w:t>
      </w:r>
    </w:p>
    <w:p w14:paraId="63030376" w14:textId="51457546" w:rsidR="007D2B73" w:rsidRPr="000151E7" w:rsidRDefault="00EB7E4F" w:rsidP="007D2B73">
      <w:pPr>
        <w:rPr>
          <w:b/>
          <w:color w:val="1F497D" w:themeColor="text2"/>
          <w:sz w:val="28"/>
          <w:szCs w:val="28"/>
        </w:rPr>
      </w:pPr>
      <w:r w:rsidRPr="000151E7">
        <w:rPr>
          <w:b/>
          <w:color w:val="1F497D" w:themeColor="text2"/>
          <w:sz w:val="28"/>
          <w:szCs w:val="28"/>
        </w:rPr>
        <w:t xml:space="preserve">1. </w:t>
      </w:r>
      <w:r w:rsidR="00393973" w:rsidRPr="000151E7">
        <w:rPr>
          <w:b/>
          <w:color w:val="1F497D" w:themeColor="text2"/>
          <w:sz w:val="28"/>
          <w:szCs w:val="28"/>
        </w:rPr>
        <w:t>Coverage &amp; Premiums</w:t>
      </w:r>
    </w:p>
    <w:p w14:paraId="0A38BCB3" w14:textId="77777777" w:rsidR="00254C3F" w:rsidRPr="00AE1ABF" w:rsidRDefault="00254C3F" w:rsidP="007D2B73">
      <w:pPr>
        <w:rPr>
          <w:b/>
          <w:sz w:val="28"/>
          <w:szCs w:val="28"/>
        </w:rPr>
      </w:pPr>
    </w:p>
    <w:p w14:paraId="11DAB0DB" w14:textId="624DC79C" w:rsidR="00E3369A" w:rsidRPr="000151E7" w:rsidRDefault="00D61389" w:rsidP="00393973">
      <w:pPr>
        <w:rPr>
          <w:color w:val="008000"/>
          <w:sz w:val="28"/>
          <w:szCs w:val="28"/>
        </w:rPr>
      </w:pPr>
      <w:r w:rsidRPr="000151E7">
        <w:rPr>
          <w:b/>
          <w:color w:val="008000"/>
          <w:sz w:val="28"/>
          <w:szCs w:val="28"/>
        </w:rPr>
        <w:t xml:space="preserve">Slide 3 </w:t>
      </w:r>
      <w:r w:rsidR="00261B23">
        <w:rPr>
          <w:b/>
          <w:color w:val="008000"/>
          <w:sz w:val="28"/>
          <w:szCs w:val="28"/>
        </w:rPr>
        <w:t>Narration</w:t>
      </w:r>
      <w:r w:rsidR="007D2B73" w:rsidRPr="000151E7">
        <w:rPr>
          <w:b/>
          <w:color w:val="008000"/>
          <w:sz w:val="28"/>
          <w:szCs w:val="28"/>
        </w:rPr>
        <w:t>:</w:t>
      </w:r>
    </w:p>
    <w:p w14:paraId="05A8B73D" w14:textId="0DBF7DF4" w:rsidR="00393973" w:rsidRPr="00AE1ABF" w:rsidRDefault="00393973" w:rsidP="00393973">
      <w:pPr>
        <w:rPr>
          <w:b/>
          <w:sz w:val="28"/>
          <w:szCs w:val="28"/>
        </w:rPr>
      </w:pPr>
      <w:r w:rsidRPr="00AE1ABF">
        <w:rPr>
          <w:sz w:val="28"/>
          <w:szCs w:val="28"/>
        </w:rPr>
        <w:t xml:space="preserve">In the first chapter of the report, we look at coverage and premiums. Dollars enter into the health care system through premiums paid by individuals and employers. </w:t>
      </w:r>
    </w:p>
    <w:p w14:paraId="388B74A8" w14:textId="77777777" w:rsidR="00393973" w:rsidRDefault="00393973">
      <w:pPr>
        <w:rPr>
          <w:sz w:val="28"/>
          <w:szCs w:val="28"/>
        </w:rPr>
      </w:pPr>
    </w:p>
    <w:p w14:paraId="4378F0F9" w14:textId="77777777" w:rsidR="00254C3F" w:rsidRPr="00AE1ABF" w:rsidRDefault="00254C3F">
      <w:pPr>
        <w:rPr>
          <w:sz w:val="28"/>
          <w:szCs w:val="28"/>
        </w:rPr>
      </w:pPr>
    </w:p>
    <w:p w14:paraId="1884990F" w14:textId="22B51A96" w:rsidR="008E508F" w:rsidRPr="000151E7" w:rsidRDefault="00393973" w:rsidP="00393973">
      <w:pPr>
        <w:rPr>
          <w:b/>
          <w:color w:val="008000"/>
          <w:sz w:val="28"/>
          <w:szCs w:val="28"/>
        </w:rPr>
      </w:pPr>
      <w:r w:rsidRPr="000151E7">
        <w:rPr>
          <w:b/>
          <w:color w:val="008000"/>
          <w:sz w:val="28"/>
          <w:szCs w:val="28"/>
        </w:rPr>
        <w:t>Slide 4</w:t>
      </w:r>
      <w:r w:rsidR="00EB7E4F" w:rsidRPr="000151E7">
        <w:rPr>
          <w:b/>
          <w:color w:val="008000"/>
          <w:sz w:val="28"/>
          <w:szCs w:val="28"/>
        </w:rPr>
        <w:t xml:space="preserve"> Title</w:t>
      </w:r>
      <w:r w:rsidR="00C417A2" w:rsidRPr="000151E7">
        <w:rPr>
          <w:b/>
          <w:color w:val="008000"/>
          <w:sz w:val="28"/>
          <w:szCs w:val="28"/>
        </w:rPr>
        <w:t>:</w:t>
      </w:r>
      <w:r w:rsidR="00C417A2" w:rsidRPr="000151E7">
        <w:rPr>
          <w:color w:val="008000"/>
          <w:sz w:val="28"/>
          <w:szCs w:val="28"/>
        </w:rPr>
        <w:t xml:space="preserve"> </w:t>
      </w:r>
    </w:p>
    <w:p w14:paraId="01A8AE56" w14:textId="31F09111" w:rsidR="00393973" w:rsidRPr="000151E7" w:rsidRDefault="00C417A2" w:rsidP="00393973">
      <w:pPr>
        <w:rPr>
          <w:b/>
          <w:color w:val="1F497D" w:themeColor="text2"/>
          <w:sz w:val="28"/>
          <w:szCs w:val="28"/>
        </w:rPr>
      </w:pPr>
      <w:r w:rsidRPr="000151E7">
        <w:rPr>
          <w:b/>
          <w:color w:val="1F497D" w:themeColor="text2"/>
          <w:sz w:val="28"/>
          <w:szCs w:val="28"/>
        </w:rPr>
        <w:t>The employer-sponsored insurance market is shrinking and diverse.</w:t>
      </w:r>
    </w:p>
    <w:p w14:paraId="26B9AC51" w14:textId="77777777" w:rsidR="00615CDD" w:rsidRDefault="00615CDD" w:rsidP="00393973">
      <w:pPr>
        <w:rPr>
          <w:sz w:val="28"/>
          <w:szCs w:val="28"/>
        </w:rPr>
      </w:pPr>
    </w:p>
    <w:p w14:paraId="3C146376" w14:textId="5697627B" w:rsidR="00615CDD" w:rsidRDefault="00254C3F" w:rsidP="00393973">
      <w:pPr>
        <w:rPr>
          <w:sz w:val="28"/>
          <w:szCs w:val="28"/>
        </w:rPr>
      </w:pPr>
      <w:r w:rsidRPr="00615CDD">
        <w:rPr>
          <w:noProof/>
        </w:rPr>
        <w:drawing>
          <wp:inline distT="0" distB="0" distL="0" distR="0" wp14:anchorId="08A9EC1E" wp14:editId="0158B734">
            <wp:extent cx="5943600" cy="3340735"/>
            <wp:effectExtent l="0" t="0" r="0"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340735"/>
                    </a:xfrm>
                    <a:prstGeom prst="rect">
                      <a:avLst/>
                    </a:prstGeom>
                    <a:noFill/>
                    <a:ln>
                      <a:noFill/>
                    </a:ln>
                  </pic:spPr>
                </pic:pic>
              </a:graphicData>
            </a:graphic>
          </wp:inline>
        </w:drawing>
      </w:r>
    </w:p>
    <w:p w14:paraId="75387D02" w14:textId="77777777" w:rsidR="00615CDD" w:rsidRPr="00AE1ABF" w:rsidRDefault="00615CDD" w:rsidP="00393973">
      <w:pPr>
        <w:rPr>
          <w:b/>
          <w:sz w:val="28"/>
          <w:szCs w:val="28"/>
        </w:rPr>
      </w:pPr>
    </w:p>
    <w:p w14:paraId="3C014EEE" w14:textId="6E06CB8F" w:rsidR="00E3369A" w:rsidRPr="000151E7" w:rsidRDefault="00176D9E" w:rsidP="009C574D">
      <w:pPr>
        <w:rPr>
          <w:color w:val="008000"/>
          <w:sz w:val="28"/>
          <w:szCs w:val="28"/>
        </w:rPr>
      </w:pPr>
      <w:r w:rsidRPr="000151E7">
        <w:rPr>
          <w:b/>
          <w:color w:val="008000"/>
          <w:sz w:val="28"/>
          <w:szCs w:val="28"/>
        </w:rPr>
        <w:t>Slide 4</w:t>
      </w:r>
      <w:r w:rsidR="000151E7">
        <w:rPr>
          <w:b/>
          <w:color w:val="008000"/>
          <w:sz w:val="28"/>
          <w:szCs w:val="28"/>
        </w:rPr>
        <w:t xml:space="preserve"> </w:t>
      </w:r>
      <w:r w:rsidR="00261B23">
        <w:rPr>
          <w:b/>
          <w:color w:val="008000"/>
          <w:sz w:val="28"/>
          <w:szCs w:val="28"/>
        </w:rPr>
        <w:t>Narration</w:t>
      </w:r>
      <w:r w:rsidR="00393973" w:rsidRPr="000151E7">
        <w:rPr>
          <w:b/>
          <w:color w:val="008000"/>
          <w:sz w:val="28"/>
          <w:szCs w:val="28"/>
        </w:rPr>
        <w:t>:</w:t>
      </w:r>
    </w:p>
    <w:p w14:paraId="352D9ADD" w14:textId="77777777" w:rsidR="00615CDD" w:rsidRDefault="00615CDD" w:rsidP="009C574D">
      <w:pPr>
        <w:rPr>
          <w:sz w:val="28"/>
          <w:szCs w:val="28"/>
        </w:rPr>
      </w:pPr>
    </w:p>
    <w:p w14:paraId="1533647F" w14:textId="4658F62B" w:rsidR="009C574D" w:rsidRPr="00AE1ABF" w:rsidRDefault="009C574D" w:rsidP="009C574D">
      <w:pPr>
        <w:rPr>
          <w:sz w:val="28"/>
          <w:szCs w:val="28"/>
        </w:rPr>
      </w:pPr>
      <w:r w:rsidRPr="00AE1ABF">
        <w:rPr>
          <w:sz w:val="28"/>
          <w:szCs w:val="28"/>
        </w:rPr>
        <w:t>From 2009 to 2011, there was a decline in employer-sponsored insurance to 62% of all coverage</w:t>
      </w:r>
      <w:r w:rsidR="00F971CD">
        <w:rPr>
          <w:sz w:val="28"/>
          <w:szCs w:val="28"/>
        </w:rPr>
        <w:t xml:space="preserve">. </w:t>
      </w:r>
      <w:r w:rsidRPr="00AE1ABF">
        <w:rPr>
          <w:sz w:val="28"/>
          <w:szCs w:val="28"/>
        </w:rPr>
        <w:t>This may be at least partly attributable to the recession and the slow economy</w:t>
      </w:r>
      <w:r w:rsidR="00F971CD">
        <w:rPr>
          <w:sz w:val="28"/>
          <w:szCs w:val="28"/>
        </w:rPr>
        <w:t xml:space="preserve">. </w:t>
      </w:r>
    </w:p>
    <w:p w14:paraId="6FA3251D" w14:textId="77777777" w:rsidR="009C574D" w:rsidRPr="00AE1ABF" w:rsidRDefault="009C574D" w:rsidP="009C574D">
      <w:pPr>
        <w:rPr>
          <w:sz w:val="28"/>
          <w:szCs w:val="28"/>
        </w:rPr>
      </w:pPr>
      <w:r w:rsidRPr="00AE1ABF">
        <w:rPr>
          <w:sz w:val="28"/>
          <w:szCs w:val="28"/>
        </w:rPr>
        <w:t xml:space="preserve"> </w:t>
      </w:r>
    </w:p>
    <w:p w14:paraId="678A616C" w14:textId="5586FBBB" w:rsidR="00393973" w:rsidRPr="00AE1ABF" w:rsidRDefault="009C574D" w:rsidP="009C574D">
      <w:pPr>
        <w:rPr>
          <w:sz w:val="28"/>
          <w:szCs w:val="28"/>
        </w:rPr>
      </w:pPr>
      <w:r w:rsidRPr="00AE1ABF">
        <w:rPr>
          <w:sz w:val="28"/>
          <w:szCs w:val="28"/>
        </w:rPr>
        <w:t xml:space="preserve">About half of all employees (covered by their employers) in Massachusetts are covered by employers that self-insure, meaning the employers pay directly for their employees’ health care costs rather than purchasing an insurance product. Fully-insured employers (the other half) purchase health insurance coverage for their </w:t>
      </w:r>
      <w:r w:rsidRPr="00AE1ABF">
        <w:rPr>
          <w:sz w:val="28"/>
          <w:szCs w:val="28"/>
        </w:rPr>
        <w:lastRenderedPageBreak/>
        <w:t>employees from a commercial payer, and employees typically pay a portion of the premiums.</w:t>
      </w:r>
    </w:p>
    <w:p w14:paraId="186E95FE" w14:textId="77777777" w:rsidR="00393973" w:rsidRDefault="00393973">
      <w:pPr>
        <w:rPr>
          <w:sz w:val="28"/>
          <w:szCs w:val="28"/>
        </w:rPr>
      </w:pPr>
    </w:p>
    <w:p w14:paraId="4977854B" w14:textId="77777777" w:rsidR="00615CDD" w:rsidRPr="00AE1ABF" w:rsidRDefault="00615CDD">
      <w:pPr>
        <w:rPr>
          <w:sz w:val="28"/>
          <w:szCs w:val="28"/>
        </w:rPr>
      </w:pPr>
    </w:p>
    <w:p w14:paraId="74FA10FD" w14:textId="1793BC33" w:rsidR="008E508F" w:rsidRPr="000151E7" w:rsidRDefault="00393973" w:rsidP="00393973">
      <w:pPr>
        <w:rPr>
          <w:color w:val="008000"/>
          <w:sz w:val="28"/>
          <w:szCs w:val="28"/>
        </w:rPr>
      </w:pPr>
      <w:r w:rsidRPr="000151E7">
        <w:rPr>
          <w:b/>
          <w:color w:val="008000"/>
          <w:sz w:val="28"/>
          <w:szCs w:val="28"/>
        </w:rPr>
        <w:t>Slide 5</w:t>
      </w:r>
      <w:r w:rsidR="00EB7E4F" w:rsidRPr="000151E7">
        <w:rPr>
          <w:b/>
          <w:color w:val="008000"/>
          <w:sz w:val="28"/>
          <w:szCs w:val="28"/>
        </w:rPr>
        <w:t xml:space="preserve"> Title</w:t>
      </w:r>
      <w:r w:rsidRPr="000151E7">
        <w:rPr>
          <w:b/>
          <w:color w:val="008000"/>
          <w:sz w:val="28"/>
          <w:szCs w:val="28"/>
        </w:rPr>
        <w:t>:</w:t>
      </w:r>
      <w:r w:rsidRPr="000151E7">
        <w:rPr>
          <w:color w:val="008000"/>
          <w:sz w:val="28"/>
          <w:szCs w:val="28"/>
        </w:rPr>
        <w:t xml:space="preserve"> </w:t>
      </w:r>
    </w:p>
    <w:p w14:paraId="0274B608" w14:textId="70C6440A" w:rsidR="00393973" w:rsidRPr="000151E7" w:rsidRDefault="00E3369A" w:rsidP="00393973">
      <w:pPr>
        <w:rPr>
          <w:b/>
          <w:color w:val="000000" w:themeColor="text1"/>
          <w:sz w:val="28"/>
          <w:szCs w:val="28"/>
        </w:rPr>
      </w:pPr>
      <w:r w:rsidRPr="000151E7">
        <w:rPr>
          <w:b/>
          <w:color w:val="000000" w:themeColor="text1"/>
          <w:sz w:val="28"/>
          <w:szCs w:val="28"/>
        </w:rPr>
        <w:t>Premiums are rising faster than inflation while benefit levels are falling</w:t>
      </w:r>
    </w:p>
    <w:p w14:paraId="56F2B0FD" w14:textId="77777777" w:rsidR="00254C3F" w:rsidRDefault="00254C3F" w:rsidP="00393973">
      <w:pPr>
        <w:rPr>
          <w:sz w:val="28"/>
          <w:szCs w:val="28"/>
        </w:rPr>
      </w:pPr>
    </w:p>
    <w:p w14:paraId="497B16B8" w14:textId="4FAC9924" w:rsidR="00254C3F" w:rsidRDefault="00254C3F" w:rsidP="00393973">
      <w:pPr>
        <w:rPr>
          <w:sz w:val="28"/>
          <w:szCs w:val="28"/>
        </w:rPr>
      </w:pPr>
      <w:r w:rsidRPr="00615CDD">
        <w:rPr>
          <w:noProof/>
        </w:rPr>
        <w:drawing>
          <wp:inline distT="0" distB="0" distL="0" distR="0" wp14:anchorId="2B7BD14C" wp14:editId="05926CA4">
            <wp:extent cx="5943600" cy="3887470"/>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887470"/>
                    </a:xfrm>
                    <a:prstGeom prst="rect">
                      <a:avLst/>
                    </a:prstGeom>
                    <a:noFill/>
                    <a:ln>
                      <a:noFill/>
                    </a:ln>
                  </pic:spPr>
                </pic:pic>
              </a:graphicData>
            </a:graphic>
          </wp:inline>
        </w:drawing>
      </w:r>
    </w:p>
    <w:p w14:paraId="377CCAC1" w14:textId="77777777" w:rsidR="00254C3F" w:rsidRPr="00AE1ABF" w:rsidRDefault="00254C3F" w:rsidP="00393973">
      <w:pPr>
        <w:rPr>
          <w:b/>
          <w:sz w:val="28"/>
          <w:szCs w:val="28"/>
        </w:rPr>
      </w:pPr>
    </w:p>
    <w:p w14:paraId="5277FC97" w14:textId="6C1205E2" w:rsidR="00393973" w:rsidRPr="000151E7" w:rsidRDefault="00176D9E" w:rsidP="00393973">
      <w:pPr>
        <w:rPr>
          <w:b/>
          <w:color w:val="008000"/>
          <w:sz w:val="28"/>
          <w:szCs w:val="28"/>
        </w:rPr>
      </w:pPr>
      <w:r w:rsidRPr="000151E7">
        <w:rPr>
          <w:b/>
          <w:color w:val="008000"/>
          <w:sz w:val="28"/>
          <w:szCs w:val="28"/>
        </w:rPr>
        <w:t xml:space="preserve">Slide 5 </w:t>
      </w:r>
      <w:r w:rsidR="00261B23">
        <w:rPr>
          <w:b/>
          <w:color w:val="008000"/>
          <w:sz w:val="28"/>
          <w:szCs w:val="28"/>
        </w:rPr>
        <w:t>Narration</w:t>
      </w:r>
      <w:r w:rsidR="00393973" w:rsidRPr="000151E7">
        <w:rPr>
          <w:b/>
          <w:color w:val="008000"/>
          <w:sz w:val="28"/>
          <w:szCs w:val="28"/>
        </w:rPr>
        <w:t>:</w:t>
      </w:r>
    </w:p>
    <w:p w14:paraId="1FD98E55" w14:textId="77777777" w:rsidR="001704F7" w:rsidRDefault="001704F7" w:rsidP="00E3369A">
      <w:pPr>
        <w:rPr>
          <w:sz w:val="28"/>
          <w:szCs w:val="28"/>
        </w:rPr>
      </w:pPr>
    </w:p>
    <w:p w14:paraId="4919C64A" w14:textId="77777777" w:rsidR="00E3369A" w:rsidRPr="00AE1ABF" w:rsidRDefault="00E3369A" w:rsidP="00E3369A">
      <w:pPr>
        <w:rPr>
          <w:sz w:val="28"/>
          <w:szCs w:val="28"/>
        </w:rPr>
      </w:pPr>
      <w:r w:rsidRPr="00AE1ABF">
        <w:rPr>
          <w:sz w:val="28"/>
          <w:szCs w:val="28"/>
        </w:rPr>
        <w:t xml:space="preserve">From 2009 to 2011, premiums have increased while benefit values have decreased. Premiums overall have grown twice as fast as inflation. While premiums grew by 9.7% during this period, benefits (as measured by actuarial value) fell by 5.1%. Premiums increased at an even higher rate in the mid-size group market. Benefit values dropped the most in the small group market. </w:t>
      </w:r>
    </w:p>
    <w:p w14:paraId="7CD8F0C7" w14:textId="77777777" w:rsidR="00E3369A" w:rsidRPr="00AE1ABF" w:rsidRDefault="00E3369A" w:rsidP="00E3369A">
      <w:pPr>
        <w:rPr>
          <w:sz w:val="28"/>
          <w:szCs w:val="28"/>
        </w:rPr>
      </w:pPr>
      <w:r w:rsidRPr="00AE1ABF">
        <w:rPr>
          <w:sz w:val="28"/>
          <w:szCs w:val="28"/>
        </w:rPr>
        <w:t xml:space="preserve"> </w:t>
      </w:r>
    </w:p>
    <w:p w14:paraId="13CF6A32" w14:textId="31FD6384" w:rsidR="00393973" w:rsidRPr="00AE1ABF" w:rsidRDefault="00E3369A">
      <w:pPr>
        <w:rPr>
          <w:sz w:val="28"/>
          <w:szCs w:val="28"/>
        </w:rPr>
      </w:pPr>
      <w:r w:rsidRPr="00AE1ABF">
        <w:rPr>
          <w:sz w:val="28"/>
          <w:szCs w:val="28"/>
        </w:rPr>
        <w:t>Health plan deductibles are also increasing. From 2009 to 2011, Massachusetts deductibles have grown over forty percent, which is a much faster rate than the national rate in recent years, although they still remain just below the national average.</w:t>
      </w:r>
    </w:p>
    <w:p w14:paraId="1729C4BA" w14:textId="08D432C6" w:rsidR="00393973" w:rsidRDefault="00393973">
      <w:pPr>
        <w:rPr>
          <w:sz w:val="28"/>
          <w:szCs w:val="28"/>
        </w:rPr>
      </w:pPr>
    </w:p>
    <w:p w14:paraId="2A616B56" w14:textId="19A7B131" w:rsidR="001740C3" w:rsidRPr="000151E7" w:rsidRDefault="00393973" w:rsidP="00393973">
      <w:pPr>
        <w:rPr>
          <w:color w:val="008000"/>
          <w:sz w:val="28"/>
          <w:szCs w:val="28"/>
        </w:rPr>
      </w:pPr>
      <w:r w:rsidRPr="000151E7">
        <w:rPr>
          <w:b/>
          <w:color w:val="008000"/>
          <w:sz w:val="28"/>
          <w:szCs w:val="28"/>
        </w:rPr>
        <w:lastRenderedPageBreak/>
        <w:t>Slide 6</w:t>
      </w:r>
      <w:r w:rsidR="00EB7E4F" w:rsidRPr="000151E7">
        <w:rPr>
          <w:b/>
          <w:color w:val="008000"/>
          <w:sz w:val="28"/>
          <w:szCs w:val="28"/>
        </w:rPr>
        <w:t xml:space="preserve"> Title</w:t>
      </w:r>
      <w:r w:rsidRPr="000151E7">
        <w:rPr>
          <w:b/>
          <w:color w:val="008000"/>
          <w:sz w:val="28"/>
          <w:szCs w:val="28"/>
        </w:rPr>
        <w:t>:</w:t>
      </w:r>
      <w:r w:rsidRPr="000151E7">
        <w:rPr>
          <w:color w:val="008000"/>
          <w:sz w:val="28"/>
          <w:szCs w:val="28"/>
        </w:rPr>
        <w:t xml:space="preserve"> </w:t>
      </w:r>
    </w:p>
    <w:p w14:paraId="4144FBB6" w14:textId="54E9FBB3" w:rsidR="00393973" w:rsidRPr="000151E7" w:rsidRDefault="00EB7E4F" w:rsidP="00EB7E4F">
      <w:pPr>
        <w:rPr>
          <w:b/>
          <w:color w:val="1F497D" w:themeColor="text2"/>
          <w:sz w:val="28"/>
          <w:szCs w:val="28"/>
        </w:rPr>
      </w:pPr>
      <w:r w:rsidRPr="000151E7">
        <w:rPr>
          <w:b/>
          <w:color w:val="1F497D" w:themeColor="text2"/>
          <w:sz w:val="28"/>
          <w:szCs w:val="28"/>
        </w:rPr>
        <w:t>2. Insurers.</w:t>
      </w:r>
    </w:p>
    <w:p w14:paraId="4D818D01" w14:textId="77777777" w:rsidR="001704F7" w:rsidRPr="00AE1ABF" w:rsidRDefault="001704F7" w:rsidP="00EB7E4F">
      <w:pPr>
        <w:rPr>
          <w:sz w:val="28"/>
          <w:szCs w:val="28"/>
        </w:rPr>
      </w:pPr>
    </w:p>
    <w:p w14:paraId="0E794C0A" w14:textId="537CAE90" w:rsidR="00393973" w:rsidRPr="000151E7" w:rsidRDefault="00176D9E" w:rsidP="00393973">
      <w:pPr>
        <w:rPr>
          <w:b/>
          <w:color w:val="008000"/>
          <w:sz w:val="28"/>
          <w:szCs w:val="28"/>
        </w:rPr>
      </w:pPr>
      <w:r w:rsidRPr="000151E7">
        <w:rPr>
          <w:b/>
          <w:color w:val="008000"/>
          <w:sz w:val="28"/>
          <w:szCs w:val="28"/>
        </w:rPr>
        <w:t xml:space="preserve">Slide 6 </w:t>
      </w:r>
      <w:r w:rsidR="00261B23">
        <w:rPr>
          <w:b/>
          <w:color w:val="008000"/>
          <w:sz w:val="28"/>
          <w:szCs w:val="28"/>
        </w:rPr>
        <w:t>Narration</w:t>
      </w:r>
      <w:r w:rsidR="00393973" w:rsidRPr="000151E7">
        <w:rPr>
          <w:b/>
          <w:color w:val="008000"/>
          <w:sz w:val="28"/>
          <w:szCs w:val="28"/>
        </w:rPr>
        <w:t>:</w:t>
      </w:r>
    </w:p>
    <w:p w14:paraId="7E0B371A" w14:textId="77777777" w:rsidR="001704F7" w:rsidRDefault="001704F7" w:rsidP="00393973">
      <w:pPr>
        <w:rPr>
          <w:sz w:val="28"/>
          <w:szCs w:val="28"/>
        </w:rPr>
      </w:pPr>
    </w:p>
    <w:p w14:paraId="5E66C3B8" w14:textId="0D27C7A7" w:rsidR="00393973" w:rsidRPr="00AE1ABF" w:rsidRDefault="00EB7E4F" w:rsidP="00393973">
      <w:pPr>
        <w:rPr>
          <w:sz w:val="28"/>
          <w:szCs w:val="28"/>
        </w:rPr>
      </w:pPr>
      <w:r w:rsidRPr="00AE1ABF">
        <w:rPr>
          <w:sz w:val="28"/>
          <w:szCs w:val="28"/>
        </w:rPr>
        <w:t>The second chapter of the report focuses on insurers. Insurers receive premium dollars and use them for a variety of purposes such as enrollee medical expenditures and administrative costs and investments.</w:t>
      </w:r>
    </w:p>
    <w:p w14:paraId="7389F679" w14:textId="77777777" w:rsidR="00393973" w:rsidRDefault="00393973">
      <w:pPr>
        <w:rPr>
          <w:sz w:val="28"/>
          <w:szCs w:val="28"/>
        </w:rPr>
      </w:pPr>
    </w:p>
    <w:p w14:paraId="783612F1" w14:textId="77777777" w:rsidR="001704F7" w:rsidRPr="00AE1ABF" w:rsidRDefault="001704F7">
      <w:pPr>
        <w:rPr>
          <w:sz w:val="28"/>
          <w:szCs w:val="28"/>
        </w:rPr>
      </w:pPr>
    </w:p>
    <w:p w14:paraId="0F4DD530" w14:textId="4A9EF3AE" w:rsidR="001704F7" w:rsidRPr="000151E7" w:rsidRDefault="00393973" w:rsidP="00393973">
      <w:pPr>
        <w:rPr>
          <w:color w:val="008000"/>
          <w:sz w:val="28"/>
          <w:szCs w:val="28"/>
        </w:rPr>
      </w:pPr>
      <w:r w:rsidRPr="000151E7">
        <w:rPr>
          <w:b/>
          <w:color w:val="008000"/>
          <w:sz w:val="28"/>
          <w:szCs w:val="28"/>
        </w:rPr>
        <w:t>Slide 7</w:t>
      </w:r>
      <w:r w:rsidR="00EB7E4F" w:rsidRPr="000151E7">
        <w:rPr>
          <w:b/>
          <w:color w:val="008000"/>
          <w:sz w:val="28"/>
          <w:szCs w:val="28"/>
        </w:rPr>
        <w:t xml:space="preserve"> Title</w:t>
      </w:r>
      <w:r w:rsidRPr="000151E7">
        <w:rPr>
          <w:b/>
          <w:color w:val="008000"/>
          <w:sz w:val="28"/>
          <w:szCs w:val="28"/>
        </w:rPr>
        <w:t>:</w:t>
      </w:r>
      <w:r w:rsidRPr="000151E7">
        <w:rPr>
          <w:color w:val="008000"/>
          <w:sz w:val="28"/>
          <w:szCs w:val="28"/>
        </w:rPr>
        <w:t xml:space="preserve"> </w:t>
      </w:r>
    </w:p>
    <w:p w14:paraId="3197C879" w14:textId="357B5C27" w:rsidR="00393973" w:rsidRPr="000151E7" w:rsidRDefault="00EB7E4F" w:rsidP="00393973">
      <w:pPr>
        <w:rPr>
          <w:b/>
          <w:color w:val="1F497D" w:themeColor="text2"/>
          <w:sz w:val="28"/>
          <w:szCs w:val="28"/>
        </w:rPr>
      </w:pPr>
      <w:r w:rsidRPr="000151E7">
        <w:rPr>
          <w:b/>
          <w:color w:val="1F497D" w:themeColor="text2"/>
          <w:sz w:val="28"/>
          <w:szCs w:val="28"/>
        </w:rPr>
        <w:t>Commercial enrollment is concentrated in the three largest insurers.</w:t>
      </w:r>
    </w:p>
    <w:p w14:paraId="37F845EA" w14:textId="77777777" w:rsidR="001704F7" w:rsidRPr="000151E7" w:rsidRDefault="001704F7" w:rsidP="00393973">
      <w:pPr>
        <w:rPr>
          <w:b/>
          <w:color w:val="000000" w:themeColor="text1"/>
          <w:sz w:val="28"/>
          <w:szCs w:val="28"/>
        </w:rPr>
      </w:pPr>
    </w:p>
    <w:p w14:paraId="4EF7339A" w14:textId="487F1294" w:rsidR="001704F7" w:rsidRDefault="001704F7" w:rsidP="00393973">
      <w:pPr>
        <w:rPr>
          <w:b/>
          <w:sz w:val="28"/>
          <w:szCs w:val="28"/>
        </w:rPr>
      </w:pPr>
      <w:r w:rsidRPr="001704F7">
        <w:rPr>
          <w:noProof/>
        </w:rPr>
        <w:drawing>
          <wp:inline distT="0" distB="0" distL="0" distR="0" wp14:anchorId="1068B847" wp14:editId="141A1AB3">
            <wp:extent cx="3873500" cy="4191000"/>
            <wp:effectExtent l="0" t="0" r="12700" b="0"/>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3500" cy="4191000"/>
                    </a:xfrm>
                    <a:prstGeom prst="rect">
                      <a:avLst/>
                    </a:prstGeom>
                    <a:noFill/>
                    <a:ln>
                      <a:noFill/>
                    </a:ln>
                  </pic:spPr>
                </pic:pic>
              </a:graphicData>
            </a:graphic>
          </wp:inline>
        </w:drawing>
      </w:r>
    </w:p>
    <w:p w14:paraId="7C83692B" w14:textId="77777777" w:rsidR="001704F7" w:rsidRPr="00AE1ABF" w:rsidRDefault="001704F7" w:rsidP="00393973">
      <w:pPr>
        <w:rPr>
          <w:b/>
          <w:sz w:val="28"/>
          <w:szCs w:val="28"/>
        </w:rPr>
      </w:pPr>
    </w:p>
    <w:p w14:paraId="26F28826" w14:textId="7D88663E" w:rsidR="00393973" w:rsidRPr="000151E7" w:rsidRDefault="00176D9E" w:rsidP="00393973">
      <w:pPr>
        <w:rPr>
          <w:b/>
          <w:color w:val="008000"/>
          <w:sz w:val="28"/>
          <w:szCs w:val="28"/>
        </w:rPr>
      </w:pPr>
      <w:r w:rsidRPr="000151E7">
        <w:rPr>
          <w:b/>
          <w:color w:val="008000"/>
          <w:sz w:val="28"/>
          <w:szCs w:val="28"/>
        </w:rPr>
        <w:t xml:space="preserve">Slide 7 </w:t>
      </w:r>
      <w:r w:rsidR="00261B23">
        <w:rPr>
          <w:b/>
          <w:color w:val="008000"/>
          <w:sz w:val="28"/>
          <w:szCs w:val="28"/>
        </w:rPr>
        <w:t>Narration</w:t>
      </w:r>
      <w:r w:rsidR="00393973" w:rsidRPr="000151E7">
        <w:rPr>
          <w:b/>
          <w:color w:val="008000"/>
          <w:sz w:val="28"/>
          <w:szCs w:val="28"/>
        </w:rPr>
        <w:t>:</w:t>
      </w:r>
    </w:p>
    <w:p w14:paraId="6458F092" w14:textId="77777777" w:rsidR="00380DE6" w:rsidRDefault="00380DE6" w:rsidP="00393973">
      <w:pPr>
        <w:rPr>
          <w:sz w:val="28"/>
          <w:szCs w:val="28"/>
        </w:rPr>
      </w:pPr>
    </w:p>
    <w:p w14:paraId="415DEA81" w14:textId="07181278" w:rsidR="00393973" w:rsidRPr="00AE1ABF" w:rsidRDefault="00EB7E4F" w:rsidP="00393973">
      <w:pPr>
        <w:rPr>
          <w:sz w:val="28"/>
          <w:szCs w:val="28"/>
        </w:rPr>
      </w:pPr>
      <w:r w:rsidRPr="00AE1ABF">
        <w:rPr>
          <w:sz w:val="28"/>
          <w:szCs w:val="28"/>
        </w:rPr>
        <w:t>The payer market in Massachusetts is highly concentrated. In 2012, more than three-quarters of enrollees were enrolled in plans from three payers. Blue Cross Blue Shield alone accounted for 45% of enrollees.</w:t>
      </w:r>
    </w:p>
    <w:p w14:paraId="790633C3" w14:textId="77777777" w:rsidR="00393973" w:rsidRPr="00AE1ABF" w:rsidRDefault="00393973">
      <w:pPr>
        <w:rPr>
          <w:sz w:val="28"/>
          <w:szCs w:val="28"/>
        </w:rPr>
      </w:pPr>
    </w:p>
    <w:p w14:paraId="35320DE3" w14:textId="4312033B" w:rsidR="00C304D3" w:rsidRPr="00B22AD7" w:rsidRDefault="00393973" w:rsidP="00393973">
      <w:pPr>
        <w:rPr>
          <w:b/>
          <w:color w:val="008000"/>
          <w:sz w:val="28"/>
          <w:szCs w:val="28"/>
        </w:rPr>
      </w:pPr>
      <w:r w:rsidRPr="00B22AD7">
        <w:rPr>
          <w:b/>
          <w:color w:val="008000"/>
          <w:sz w:val="28"/>
          <w:szCs w:val="28"/>
        </w:rPr>
        <w:t>Slide 8</w:t>
      </w:r>
      <w:r w:rsidR="00C304D3" w:rsidRPr="00B22AD7">
        <w:rPr>
          <w:b/>
          <w:color w:val="008000"/>
          <w:sz w:val="28"/>
          <w:szCs w:val="28"/>
        </w:rPr>
        <w:t xml:space="preserve"> Title</w:t>
      </w:r>
      <w:r w:rsidRPr="00B22AD7">
        <w:rPr>
          <w:b/>
          <w:color w:val="008000"/>
          <w:sz w:val="28"/>
          <w:szCs w:val="28"/>
        </w:rPr>
        <w:t>:</w:t>
      </w:r>
      <w:r w:rsidRPr="00B22AD7">
        <w:rPr>
          <w:color w:val="008000"/>
          <w:sz w:val="28"/>
          <w:szCs w:val="28"/>
        </w:rPr>
        <w:t xml:space="preserve"> </w:t>
      </w:r>
    </w:p>
    <w:p w14:paraId="7DFCAD15" w14:textId="5BF05E9C" w:rsidR="00393973" w:rsidRDefault="00C304D3" w:rsidP="00393973">
      <w:pPr>
        <w:rPr>
          <w:b/>
          <w:color w:val="1F497D" w:themeColor="text2"/>
          <w:sz w:val="28"/>
          <w:szCs w:val="28"/>
        </w:rPr>
      </w:pPr>
      <w:r w:rsidRPr="00B22AD7">
        <w:rPr>
          <w:b/>
          <w:color w:val="1F497D" w:themeColor="text2"/>
          <w:sz w:val="28"/>
          <w:szCs w:val="28"/>
        </w:rPr>
        <w:t>The big three insurers had higher premiums and total medical spend.</w:t>
      </w:r>
    </w:p>
    <w:p w14:paraId="25C5B921" w14:textId="77777777" w:rsidR="00B22AD7" w:rsidRPr="00B22AD7" w:rsidRDefault="00B22AD7" w:rsidP="00393973">
      <w:pPr>
        <w:rPr>
          <w:b/>
          <w:color w:val="1F497D" w:themeColor="text2"/>
          <w:sz w:val="28"/>
          <w:szCs w:val="28"/>
        </w:rPr>
      </w:pPr>
    </w:p>
    <w:p w14:paraId="215C5299" w14:textId="489AD996" w:rsidR="001704F7" w:rsidRDefault="00B22AD7" w:rsidP="00393973">
      <w:pPr>
        <w:rPr>
          <w:b/>
          <w:sz w:val="28"/>
          <w:szCs w:val="28"/>
        </w:rPr>
      </w:pPr>
      <w:r w:rsidRPr="00B22AD7">
        <w:rPr>
          <w:noProof/>
        </w:rPr>
        <w:drawing>
          <wp:inline distT="0" distB="0" distL="0" distR="0" wp14:anchorId="5AA4287D" wp14:editId="6A3F4693">
            <wp:extent cx="5943600" cy="3793097"/>
            <wp:effectExtent l="0" t="0" r="0" b="0"/>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793097"/>
                    </a:xfrm>
                    <a:prstGeom prst="rect">
                      <a:avLst/>
                    </a:prstGeom>
                    <a:noFill/>
                    <a:ln>
                      <a:noFill/>
                    </a:ln>
                  </pic:spPr>
                </pic:pic>
              </a:graphicData>
            </a:graphic>
          </wp:inline>
        </w:drawing>
      </w:r>
    </w:p>
    <w:p w14:paraId="069034A0" w14:textId="77777777" w:rsidR="00B22AD7" w:rsidRPr="00AE1ABF" w:rsidRDefault="00B22AD7" w:rsidP="00393973">
      <w:pPr>
        <w:rPr>
          <w:b/>
          <w:sz w:val="28"/>
          <w:szCs w:val="28"/>
        </w:rPr>
      </w:pPr>
    </w:p>
    <w:p w14:paraId="5EB38DFD" w14:textId="1E7B6B21" w:rsidR="00393973" w:rsidRPr="00B22AD7" w:rsidRDefault="00176D9E" w:rsidP="00393973">
      <w:pPr>
        <w:rPr>
          <w:b/>
          <w:color w:val="008000"/>
          <w:sz w:val="28"/>
          <w:szCs w:val="28"/>
        </w:rPr>
      </w:pPr>
      <w:r w:rsidRPr="00B22AD7">
        <w:rPr>
          <w:b/>
          <w:color w:val="008000"/>
          <w:sz w:val="28"/>
          <w:szCs w:val="28"/>
        </w:rPr>
        <w:t xml:space="preserve">Slide 8 </w:t>
      </w:r>
      <w:r w:rsidR="00261B23">
        <w:rPr>
          <w:b/>
          <w:color w:val="008000"/>
          <w:sz w:val="28"/>
          <w:szCs w:val="28"/>
        </w:rPr>
        <w:t>Narration</w:t>
      </w:r>
      <w:r w:rsidR="00393973" w:rsidRPr="00B22AD7">
        <w:rPr>
          <w:b/>
          <w:color w:val="008000"/>
          <w:sz w:val="28"/>
          <w:szCs w:val="28"/>
        </w:rPr>
        <w:t>:</w:t>
      </w:r>
    </w:p>
    <w:p w14:paraId="7C7CE245" w14:textId="77777777" w:rsidR="006B53ED" w:rsidRDefault="006B53ED" w:rsidP="00C304D3">
      <w:pPr>
        <w:rPr>
          <w:sz w:val="28"/>
          <w:szCs w:val="28"/>
        </w:rPr>
      </w:pPr>
    </w:p>
    <w:p w14:paraId="295B042B" w14:textId="402D3763" w:rsidR="00393973" w:rsidRPr="00AE1ABF" w:rsidRDefault="00C304D3" w:rsidP="00C304D3">
      <w:pPr>
        <w:rPr>
          <w:sz w:val="28"/>
          <w:szCs w:val="28"/>
        </w:rPr>
      </w:pPr>
      <w:r w:rsidRPr="00AE1ABF">
        <w:rPr>
          <w:sz w:val="28"/>
          <w:szCs w:val="28"/>
        </w:rPr>
        <w:t>In 2011, the average premiums of the top three payers were higher than premiums of other payers. Furthermore, total spending on member medical expenses, including patient cost-sharing and the self-insured market, which grew by 3.8% overall from 2010 to 2011, is also higher for the top three payers. It appears that these large payers have not been successful in using their size to drive down costs</w:t>
      </w:r>
      <w:r w:rsidR="00F971CD">
        <w:rPr>
          <w:sz w:val="28"/>
          <w:szCs w:val="28"/>
        </w:rPr>
        <w:t xml:space="preserve">. </w:t>
      </w:r>
      <w:r w:rsidRPr="00AE1ABF">
        <w:rPr>
          <w:sz w:val="28"/>
          <w:szCs w:val="28"/>
        </w:rPr>
        <w:t>There may also be selection issues, since these results are not</w:t>
      </w:r>
      <w:r w:rsidR="00FD2031" w:rsidRPr="00AE1ABF">
        <w:rPr>
          <w:sz w:val="28"/>
          <w:szCs w:val="28"/>
        </w:rPr>
        <w:t xml:space="preserve"> adjusted for selection factors</w:t>
      </w:r>
      <w:r w:rsidRPr="00AE1ABF">
        <w:rPr>
          <w:sz w:val="28"/>
          <w:szCs w:val="28"/>
        </w:rPr>
        <w:t>.</w:t>
      </w:r>
    </w:p>
    <w:p w14:paraId="7359B2CC" w14:textId="77777777" w:rsidR="00393973" w:rsidRDefault="00393973">
      <w:pPr>
        <w:rPr>
          <w:sz w:val="28"/>
          <w:szCs w:val="28"/>
        </w:rPr>
      </w:pPr>
    </w:p>
    <w:p w14:paraId="6CA22A07" w14:textId="77777777" w:rsidR="002F0952" w:rsidRDefault="002F0952">
      <w:pPr>
        <w:rPr>
          <w:b/>
          <w:color w:val="008000"/>
          <w:sz w:val="28"/>
          <w:szCs w:val="28"/>
        </w:rPr>
      </w:pPr>
      <w:r>
        <w:rPr>
          <w:b/>
          <w:color w:val="008000"/>
          <w:sz w:val="28"/>
          <w:szCs w:val="28"/>
        </w:rPr>
        <w:br w:type="page"/>
      </w:r>
    </w:p>
    <w:p w14:paraId="1C70DE96" w14:textId="0C59D08B" w:rsidR="00FD2031" w:rsidRPr="002F0952" w:rsidRDefault="00393973" w:rsidP="00393973">
      <w:pPr>
        <w:rPr>
          <w:color w:val="008000"/>
          <w:sz w:val="28"/>
          <w:szCs w:val="28"/>
        </w:rPr>
      </w:pPr>
      <w:r w:rsidRPr="002F0952">
        <w:rPr>
          <w:b/>
          <w:color w:val="008000"/>
          <w:sz w:val="28"/>
          <w:szCs w:val="28"/>
        </w:rPr>
        <w:lastRenderedPageBreak/>
        <w:t>Slide 9</w:t>
      </w:r>
      <w:r w:rsidR="00FD2031" w:rsidRPr="002F0952">
        <w:rPr>
          <w:b/>
          <w:color w:val="008000"/>
          <w:sz w:val="28"/>
          <w:szCs w:val="28"/>
        </w:rPr>
        <w:t xml:space="preserve"> Title</w:t>
      </w:r>
      <w:r w:rsidRPr="002F0952">
        <w:rPr>
          <w:b/>
          <w:color w:val="008000"/>
          <w:sz w:val="28"/>
          <w:szCs w:val="28"/>
        </w:rPr>
        <w:t>:</w:t>
      </w:r>
      <w:r w:rsidRPr="002F0952">
        <w:rPr>
          <w:color w:val="008000"/>
          <w:sz w:val="28"/>
          <w:szCs w:val="28"/>
        </w:rPr>
        <w:t xml:space="preserve"> </w:t>
      </w:r>
    </w:p>
    <w:p w14:paraId="152EA9BA" w14:textId="2C5E7A98" w:rsidR="002F5E4B" w:rsidRPr="002F0952" w:rsidRDefault="002F5E4B" w:rsidP="00393973">
      <w:pPr>
        <w:rPr>
          <w:b/>
          <w:color w:val="1F497D" w:themeColor="text2"/>
          <w:sz w:val="28"/>
          <w:szCs w:val="28"/>
        </w:rPr>
      </w:pPr>
      <w:r w:rsidRPr="002F0952">
        <w:rPr>
          <w:b/>
          <w:color w:val="1F497D" w:themeColor="text2"/>
          <w:sz w:val="28"/>
          <w:szCs w:val="28"/>
        </w:rPr>
        <w:t>Medical spending didn’t rise as fast as premiums, so insurers retained more.</w:t>
      </w:r>
    </w:p>
    <w:p w14:paraId="6DD9703A" w14:textId="77777777" w:rsidR="001704F7" w:rsidRDefault="001704F7" w:rsidP="00393973">
      <w:pPr>
        <w:rPr>
          <w:sz w:val="28"/>
          <w:szCs w:val="28"/>
        </w:rPr>
      </w:pPr>
    </w:p>
    <w:p w14:paraId="5254ACA4" w14:textId="57EF7A4B" w:rsidR="002F0952" w:rsidRDefault="002F0952" w:rsidP="00393973">
      <w:pPr>
        <w:rPr>
          <w:sz w:val="28"/>
          <w:szCs w:val="28"/>
        </w:rPr>
      </w:pPr>
      <w:r w:rsidRPr="002F0952">
        <w:rPr>
          <w:noProof/>
        </w:rPr>
        <w:drawing>
          <wp:inline distT="0" distB="0" distL="0" distR="0" wp14:anchorId="50F8E540" wp14:editId="38E8C94F">
            <wp:extent cx="5943600" cy="2743200"/>
            <wp:effectExtent l="0" t="0" r="0" b="0"/>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743200"/>
                    </a:xfrm>
                    <a:prstGeom prst="rect">
                      <a:avLst/>
                    </a:prstGeom>
                    <a:noFill/>
                    <a:ln>
                      <a:noFill/>
                    </a:ln>
                  </pic:spPr>
                </pic:pic>
              </a:graphicData>
            </a:graphic>
          </wp:inline>
        </w:drawing>
      </w:r>
    </w:p>
    <w:p w14:paraId="157001EC" w14:textId="77777777" w:rsidR="002F0952" w:rsidRPr="00AE1ABF" w:rsidRDefault="002F0952" w:rsidP="00393973">
      <w:pPr>
        <w:rPr>
          <w:sz w:val="28"/>
          <w:szCs w:val="28"/>
        </w:rPr>
      </w:pPr>
    </w:p>
    <w:p w14:paraId="5CDCE41A" w14:textId="77777777" w:rsidR="002F0952" w:rsidRDefault="002F0952" w:rsidP="00393973">
      <w:pPr>
        <w:rPr>
          <w:b/>
          <w:color w:val="008000"/>
          <w:sz w:val="28"/>
          <w:szCs w:val="28"/>
        </w:rPr>
      </w:pPr>
    </w:p>
    <w:p w14:paraId="0243B25E" w14:textId="74CE2E27" w:rsidR="00393973" w:rsidRPr="002F0952" w:rsidRDefault="00176D9E" w:rsidP="00393973">
      <w:pPr>
        <w:rPr>
          <w:b/>
          <w:color w:val="008000"/>
          <w:sz w:val="28"/>
          <w:szCs w:val="28"/>
        </w:rPr>
      </w:pPr>
      <w:r w:rsidRPr="002F0952">
        <w:rPr>
          <w:b/>
          <w:color w:val="008000"/>
          <w:sz w:val="28"/>
          <w:szCs w:val="28"/>
        </w:rPr>
        <w:t xml:space="preserve">Slide 9 </w:t>
      </w:r>
      <w:r w:rsidR="00261B23">
        <w:rPr>
          <w:b/>
          <w:color w:val="008000"/>
          <w:sz w:val="28"/>
          <w:szCs w:val="28"/>
        </w:rPr>
        <w:t>Narration</w:t>
      </w:r>
      <w:r w:rsidR="00393973" w:rsidRPr="002F0952">
        <w:rPr>
          <w:b/>
          <w:color w:val="008000"/>
          <w:sz w:val="28"/>
          <w:szCs w:val="28"/>
        </w:rPr>
        <w:t>:</w:t>
      </w:r>
    </w:p>
    <w:p w14:paraId="095C3F66" w14:textId="5D3B7EEC" w:rsidR="002F5E4B" w:rsidRPr="00AE1ABF" w:rsidRDefault="002F5E4B" w:rsidP="002F5E4B">
      <w:pPr>
        <w:rPr>
          <w:sz w:val="28"/>
          <w:szCs w:val="28"/>
        </w:rPr>
      </w:pPr>
      <w:r w:rsidRPr="00AE1ABF">
        <w:rPr>
          <w:sz w:val="28"/>
          <w:szCs w:val="28"/>
        </w:rPr>
        <w:t>Because premiums grew at a faster rate than medical spending on members between 2009 and 2011, payers retained more premium dollars for administrative and other expenses, including IT investments, financial reserves, taxes, fees, and cost containment and quality measurement expenses</w:t>
      </w:r>
      <w:r w:rsidR="00F971CD">
        <w:rPr>
          <w:sz w:val="28"/>
          <w:szCs w:val="28"/>
        </w:rPr>
        <w:t xml:space="preserve">. </w:t>
      </w:r>
    </w:p>
    <w:p w14:paraId="32F8D365" w14:textId="77777777" w:rsidR="002F5E4B" w:rsidRPr="00AE1ABF" w:rsidRDefault="002F5E4B" w:rsidP="002F5E4B">
      <w:pPr>
        <w:rPr>
          <w:sz w:val="28"/>
          <w:szCs w:val="28"/>
        </w:rPr>
      </w:pPr>
      <w:r w:rsidRPr="00AE1ABF">
        <w:rPr>
          <w:sz w:val="28"/>
          <w:szCs w:val="28"/>
        </w:rPr>
        <w:t> </w:t>
      </w:r>
    </w:p>
    <w:p w14:paraId="7A1E702D" w14:textId="47476E28" w:rsidR="00393973" w:rsidRPr="00AE1ABF" w:rsidRDefault="002F5E4B" w:rsidP="00393973">
      <w:pPr>
        <w:rPr>
          <w:sz w:val="28"/>
          <w:szCs w:val="28"/>
        </w:rPr>
      </w:pPr>
      <w:r w:rsidRPr="00AE1ABF">
        <w:rPr>
          <w:sz w:val="28"/>
          <w:szCs w:val="28"/>
        </w:rPr>
        <w:t>From both 2009 to 2010 and 2010 to 2011, we saw a twenty percent increase in payer retention</w:t>
      </w:r>
      <w:r w:rsidR="00F971CD">
        <w:rPr>
          <w:sz w:val="28"/>
          <w:szCs w:val="28"/>
        </w:rPr>
        <w:t xml:space="preserve">. </w:t>
      </w:r>
      <w:r w:rsidRPr="00AE1ABF">
        <w:rPr>
          <w:sz w:val="28"/>
          <w:szCs w:val="28"/>
        </w:rPr>
        <w:t>Because premiums are set prospectively, an unanticipated change in expenses may result in higher retention in any given year. Nationwide, in many cases, medical expenses have recently been lower than projected. These retention rates may also reflect payer investment in alternative payment methodologies and IT systems for better coordination of care.</w:t>
      </w:r>
    </w:p>
    <w:p w14:paraId="46D3859B" w14:textId="77777777" w:rsidR="00393973" w:rsidRDefault="00393973">
      <w:pPr>
        <w:rPr>
          <w:sz w:val="28"/>
          <w:szCs w:val="28"/>
        </w:rPr>
      </w:pPr>
    </w:p>
    <w:p w14:paraId="24333DF7" w14:textId="77777777" w:rsidR="002F0952" w:rsidRPr="00AE1ABF" w:rsidRDefault="002F0952">
      <w:pPr>
        <w:rPr>
          <w:sz w:val="28"/>
          <w:szCs w:val="28"/>
        </w:rPr>
      </w:pPr>
    </w:p>
    <w:p w14:paraId="07A039CE" w14:textId="77777777" w:rsidR="002F0952" w:rsidRDefault="002F0952">
      <w:pPr>
        <w:rPr>
          <w:b/>
          <w:color w:val="0000FF"/>
          <w:sz w:val="28"/>
          <w:szCs w:val="28"/>
        </w:rPr>
      </w:pPr>
      <w:r>
        <w:rPr>
          <w:b/>
          <w:color w:val="0000FF"/>
          <w:sz w:val="28"/>
          <w:szCs w:val="28"/>
        </w:rPr>
        <w:br w:type="page"/>
      </w:r>
    </w:p>
    <w:p w14:paraId="3BB96CA4" w14:textId="21279C34" w:rsidR="00393973" w:rsidRPr="00496B4F" w:rsidRDefault="00393973" w:rsidP="00393973">
      <w:pPr>
        <w:rPr>
          <w:b/>
          <w:color w:val="008000"/>
          <w:sz w:val="28"/>
          <w:szCs w:val="28"/>
        </w:rPr>
      </w:pPr>
      <w:r w:rsidRPr="00496B4F">
        <w:rPr>
          <w:b/>
          <w:color w:val="008000"/>
          <w:sz w:val="28"/>
          <w:szCs w:val="28"/>
        </w:rPr>
        <w:lastRenderedPageBreak/>
        <w:t>Slide 10</w:t>
      </w:r>
      <w:r w:rsidR="002F5E4B" w:rsidRPr="00496B4F">
        <w:rPr>
          <w:b/>
          <w:color w:val="008000"/>
          <w:sz w:val="28"/>
          <w:szCs w:val="28"/>
        </w:rPr>
        <w:t xml:space="preserve"> Title:</w:t>
      </w:r>
    </w:p>
    <w:p w14:paraId="47F3399E" w14:textId="6F7ED60E" w:rsidR="00393973" w:rsidRPr="00496B4F" w:rsidRDefault="002B246D" w:rsidP="00393973">
      <w:pPr>
        <w:rPr>
          <w:b/>
          <w:color w:val="1F497D" w:themeColor="text2"/>
          <w:sz w:val="28"/>
          <w:szCs w:val="28"/>
        </w:rPr>
      </w:pPr>
      <w:r w:rsidRPr="00496B4F">
        <w:rPr>
          <w:b/>
          <w:color w:val="1F497D" w:themeColor="text2"/>
          <w:sz w:val="28"/>
          <w:szCs w:val="28"/>
        </w:rPr>
        <w:t>We are a national leader in payment innovation, but FFS remains dominant</w:t>
      </w:r>
      <w:r w:rsidR="002F5E4B" w:rsidRPr="00496B4F">
        <w:rPr>
          <w:b/>
          <w:color w:val="1F497D" w:themeColor="text2"/>
          <w:sz w:val="28"/>
          <w:szCs w:val="28"/>
        </w:rPr>
        <w:t>.</w:t>
      </w:r>
    </w:p>
    <w:p w14:paraId="77EE0CC0" w14:textId="77777777" w:rsidR="00496B4F" w:rsidRDefault="00496B4F" w:rsidP="00393973">
      <w:pPr>
        <w:rPr>
          <w:sz w:val="28"/>
          <w:szCs w:val="28"/>
        </w:rPr>
      </w:pPr>
    </w:p>
    <w:p w14:paraId="0757B587" w14:textId="71636303" w:rsidR="00496B4F" w:rsidRDefault="00496B4F" w:rsidP="00393973">
      <w:pPr>
        <w:rPr>
          <w:sz w:val="28"/>
          <w:szCs w:val="28"/>
        </w:rPr>
      </w:pPr>
      <w:r w:rsidRPr="00496B4F">
        <w:rPr>
          <w:noProof/>
        </w:rPr>
        <w:drawing>
          <wp:inline distT="0" distB="0" distL="0" distR="0" wp14:anchorId="282865A3" wp14:editId="4652E124">
            <wp:extent cx="5943600" cy="3134770"/>
            <wp:effectExtent l="0" t="0" r="0" b="0"/>
            <wp:docPr id="1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134770"/>
                    </a:xfrm>
                    <a:prstGeom prst="rect">
                      <a:avLst/>
                    </a:prstGeom>
                    <a:noFill/>
                    <a:ln>
                      <a:noFill/>
                    </a:ln>
                  </pic:spPr>
                </pic:pic>
              </a:graphicData>
            </a:graphic>
          </wp:inline>
        </w:drawing>
      </w:r>
    </w:p>
    <w:p w14:paraId="4ADBBBA8" w14:textId="77777777" w:rsidR="00496B4F" w:rsidRPr="00AE1ABF" w:rsidRDefault="00496B4F" w:rsidP="00393973">
      <w:pPr>
        <w:rPr>
          <w:sz w:val="28"/>
          <w:szCs w:val="28"/>
        </w:rPr>
      </w:pPr>
    </w:p>
    <w:p w14:paraId="58F64D9F" w14:textId="7BD33027" w:rsidR="00393973" w:rsidRPr="00496B4F" w:rsidRDefault="00176D9E" w:rsidP="00393973">
      <w:pPr>
        <w:rPr>
          <w:b/>
          <w:color w:val="008000"/>
          <w:sz w:val="28"/>
          <w:szCs w:val="28"/>
        </w:rPr>
      </w:pPr>
      <w:r w:rsidRPr="00496B4F">
        <w:rPr>
          <w:b/>
          <w:color w:val="008000"/>
          <w:sz w:val="28"/>
          <w:szCs w:val="28"/>
        </w:rPr>
        <w:t xml:space="preserve">Slide 10 </w:t>
      </w:r>
      <w:r w:rsidR="00261B23">
        <w:rPr>
          <w:b/>
          <w:color w:val="008000"/>
          <w:sz w:val="28"/>
          <w:szCs w:val="28"/>
        </w:rPr>
        <w:t>Narration</w:t>
      </w:r>
      <w:r w:rsidR="00393973" w:rsidRPr="00496B4F">
        <w:rPr>
          <w:b/>
          <w:color w:val="008000"/>
          <w:sz w:val="28"/>
          <w:szCs w:val="28"/>
        </w:rPr>
        <w:t>:</w:t>
      </w:r>
    </w:p>
    <w:p w14:paraId="4E7F5E76" w14:textId="77777777" w:rsidR="00496B4F" w:rsidRDefault="00496B4F" w:rsidP="002B246D">
      <w:pPr>
        <w:rPr>
          <w:sz w:val="28"/>
          <w:szCs w:val="28"/>
        </w:rPr>
      </w:pPr>
    </w:p>
    <w:p w14:paraId="00E33CB4" w14:textId="77777777" w:rsidR="002B246D" w:rsidRPr="00AE1ABF" w:rsidRDefault="002B246D" w:rsidP="002B246D">
      <w:pPr>
        <w:rPr>
          <w:sz w:val="28"/>
          <w:szCs w:val="28"/>
        </w:rPr>
      </w:pPr>
      <w:r w:rsidRPr="00AE1ABF">
        <w:rPr>
          <w:sz w:val="28"/>
          <w:szCs w:val="28"/>
        </w:rPr>
        <w:t>In 2012, FFS was still the most common payment method, but there has been a significant focus on the use of global payment methods in Massachusetts. Thirty-five percent of commercial market enrollees are in plans managed under a global payment arrangement; Blue Cross Blue Shield is the primary driver of this recent shift accounting for 63% of all global payment dollars. These global payment arrangements were ALL within Health Maintenance Organizations (HMOs).</w:t>
      </w:r>
    </w:p>
    <w:p w14:paraId="289C7319" w14:textId="77777777" w:rsidR="002B246D" w:rsidRPr="00AE1ABF" w:rsidRDefault="002B246D" w:rsidP="002B246D">
      <w:pPr>
        <w:rPr>
          <w:sz w:val="28"/>
          <w:szCs w:val="28"/>
        </w:rPr>
      </w:pPr>
      <w:r w:rsidRPr="00AE1ABF">
        <w:rPr>
          <w:sz w:val="28"/>
          <w:szCs w:val="28"/>
        </w:rPr>
        <w:t xml:space="preserve">  </w:t>
      </w:r>
    </w:p>
    <w:p w14:paraId="14F85848" w14:textId="53C26453" w:rsidR="002B246D" w:rsidRPr="00AE1ABF" w:rsidRDefault="002B246D" w:rsidP="002B246D">
      <w:pPr>
        <w:rPr>
          <w:sz w:val="28"/>
          <w:szCs w:val="28"/>
        </w:rPr>
      </w:pPr>
      <w:r w:rsidRPr="00AE1ABF">
        <w:rPr>
          <w:sz w:val="28"/>
          <w:szCs w:val="28"/>
        </w:rPr>
        <w:t>Under a global payment method, a budget is set for all of a patient’s care under a provider, and the provider is held liable for spending. Because global payment</w:t>
      </w:r>
      <w:r w:rsidR="00C80E45">
        <w:rPr>
          <w:sz w:val="28"/>
          <w:szCs w:val="28"/>
        </w:rPr>
        <w:t xml:space="preserve"> </w:t>
      </w:r>
      <w:r w:rsidRPr="00AE1ABF">
        <w:rPr>
          <w:sz w:val="28"/>
          <w:szCs w:val="28"/>
        </w:rPr>
        <w:t xml:space="preserve">arrangements are generally negotiated with primary care groups, the financial incentives may still be mixed, since specialists, who typically provide more costly care, might still be paid on a traditional Fee-for-Service basis. </w:t>
      </w:r>
    </w:p>
    <w:p w14:paraId="165F8B1A" w14:textId="77777777" w:rsidR="002B246D" w:rsidRPr="00AE1ABF" w:rsidRDefault="002B246D" w:rsidP="002B246D">
      <w:pPr>
        <w:rPr>
          <w:sz w:val="28"/>
          <w:szCs w:val="28"/>
        </w:rPr>
      </w:pPr>
      <w:r w:rsidRPr="00AE1ABF">
        <w:rPr>
          <w:sz w:val="28"/>
          <w:szCs w:val="28"/>
        </w:rPr>
        <w:t xml:space="preserve">  </w:t>
      </w:r>
    </w:p>
    <w:p w14:paraId="7C0CA3D3" w14:textId="1072FE2A" w:rsidR="00393973" w:rsidRPr="00AE1ABF" w:rsidRDefault="002B246D" w:rsidP="002B246D">
      <w:pPr>
        <w:rPr>
          <w:sz w:val="28"/>
          <w:szCs w:val="28"/>
        </w:rPr>
      </w:pPr>
      <w:r w:rsidRPr="00AE1ABF">
        <w:rPr>
          <w:sz w:val="28"/>
          <w:szCs w:val="28"/>
        </w:rPr>
        <w:t>Massachusetts has traditionally had a larger HMO market than other states, though enrollment in HMOs has declined (it was 59% in 2012). This is important to note because and all global payment arrangements were in the HMO environment. However, payers such as Medicare are increasingly looking into alternative payment arrangements in PPO settings</w:t>
      </w:r>
      <w:r w:rsidR="002F5E4B" w:rsidRPr="00AE1ABF">
        <w:rPr>
          <w:sz w:val="28"/>
          <w:szCs w:val="28"/>
        </w:rPr>
        <w:t>.</w:t>
      </w:r>
    </w:p>
    <w:p w14:paraId="262F6F6A" w14:textId="3D51161B" w:rsidR="002F5E4B" w:rsidRPr="00496B4F" w:rsidRDefault="002F5E4B" w:rsidP="002F5E4B">
      <w:pPr>
        <w:rPr>
          <w:b/>
          <w:color w:val="008000"/>
          <w:sz w:val="28"/>
          <w:szCs w:val="28"/>
        </w:rPr>
      </w:pPr>
      <w:r w:rsidRPr="00496B4F">
        <w:rPr>
          <w:b/>
          <w:color w:val="008000"/>
          <w:sz w:val="28"/>
          <w:szCs w:val="28"/>
        </w:rPr>
        <w:lastRenderedPageBreak/>
        <w:t>Slide 1</w:t>
      </w:r>
      <w:r w:rsidR="00DE0073" w:rsidRPr="00496B4F">
        <w:rPr>
          <w:b/>
          <w:color w:val="008000"/>
          <w:sz w:val="28"/>
          <w:szCs w:val="28"/>
        </w:rPr>
        <w:t>1</w:t>
      </w:r>
      <w:r w:rsidRPr="00496B4F">
        <w:rPr>
          <w:b/>
          <w:color w:val="008000"/>
          <w:sz w:val="28"/>
          <w:szCs w:val="28"/>
        </w:rPr>
        <w:t xml:space="preserve"> Title:</w:t>
      </w:r>
    </w:p>
    <w:p w14:paraId="04D1F341" w14:textId="5412DDE1" w:rsidR="002F5E4B" w:rsidRPr="00C80E45" w:rsidRDefault="00176D9E" w:rsidP="002F5E4B">
      <w:pPr>
        <w:rPr>
          <w:b/>
          <w:color w:val="1F497D" w:themeColor="text2"/>
          <w:sz w:val="28"/>
          <w:szCs w:val="28"/>
        </w:rPr>
      </w:pPr>
      <w:r w:rsidRPr="00C80E45">
        <w:rPr>
          <w:b/>
          <w:color w:val="1F497D" w:themeColor="text2"/>
          <w:sz w:val="28"/>
          <w:szCs w:val="28"/>
        </w:rPr>
        <w:t>3</w:t>
      </w:r>
      <w:r w:rsidR="002F5E4B" w:rsidRPr="00C80E45">
        <w:rPr>
          <w:b/>
          <w:color w:val="1F497D" w:themeColor="text2"/>
          <w:sz w:val="28"/>
          <w:szCs w:val="28"/>
        </w:rPr>
        <w:t>.</w:t>
      </w:r>
      <w:r w:rsidRPr="00C80E45">
        <w:rPr>
          <w:b/>
          <w:color w:val="1F497D" w:themeColor="text2"/>
          <w:sz w:val="28"/>
          <w:szCs w:val="28"/>
        </w:rPr>
        <w:t xml:space="preserve"> Providers</w:t>
      </w:r>
    </w:p>
    <w:p w14:paraId="6AC9EA2A" w14:textId="77777777" w:rsidR="00496B4F" w:rsidRPr="00AE1ABF" w:rsidRDefault="00496B4F" w:rsidP="002F5E4B">
      <w:pPr>
        <w:rPr>
          <w:sz w:val="28"/>
          <w:szCs w:val="28"/>
        </w:rPr>
      </w:pPr>
    </w:p>
    <w:p w14:paraId="056DAB81" w14:textId="3091D2D8" w:rsidR="002F5E4B" w:rsidRPr="00496B4F" w:rsidRDefault="00DE0073" w:rsidP="002F5E4B">
      <w:pPr>
        <w:rPr>
          <w:b/>
          <w:color w:val="008000"/>
          <w:sz w:val="28"/>
          <w:szCs w:val="28"/>
        </w:rPr>
      </w:pPr>
      <w:r w:rsidRPr="00496B4F">
        <w:rPr>
          <w:b/>
          <w:color w:val="008000"/>
          <w:sz w:val="28"/>
          <w:szCs w:val="28"/>
        </w:rPr>
        <w:t xml:space="preserve">Slide 11 </w:t>
      </w:r>
      <w:r w:rsidR="00261B23">
        <w:rPr>
          <w:b/>
          <w:color w:val="008000"/>
          <w:sz w:val="28"/>
          <w:szCs w:val="28"/>
        </w:rPr>
        <w:t>Narration</w:t>
      </w:r>
      <w:r w:rsidR="002F5E4B" w:rsidRPr="00496B4F">
        <w:rPr>
          <w:b/>
          <w:color w:val="008000"/>
          <w:sz w:val="28"/>
          <w:szCs w:val="28"/>
        </w:rPr>
        <w:t>:</w:t>
      </w:r>
    </w:p>
    <w:p w14:paraId="2512C162" w14:textId="77777777" w:rsidR="00380DE6" w:rsidRDefault="00380DE6" w:rsidP="002F5E4B">
      <w:pPr>
        <w:rPr>
          <w:sz w:val="28"/>
          <w:szCs w:val="28"/>
        </w:rPr>
      </w:pPr>
    </w:p>
    <w:p w14:paraId="5B5931C1" w14:textId="7C22E919" w:rsidR="002F5E4B" w:rsidRPr="00AE1ABF" w:rsidRDefault="00176D9E" w:rsidP="002F5E4B">
      <w:pPr>
        <w:rPr>
          <w:sz w:val="28"/>
          <w:szCs w:val="28"/>
        </w:rPr>
      </w:pPr>
      <w:r w:rsidRPr="00AE1ABF">
        <w:rPr>
          <w:sz w:val="28"/>
          <w:szCs w:val="28"/>
        </w:rPr>
        <w:t>In Chapter Three, we examine payments made by payers to individual and system health care providers</w:t>
      </w:r>
      <w:r w:rsidR="002F5E4B" w:rsidRPr="00AE1ABF">
        <w:rPr>
          <w:sz w:val="28"/>
          <w:szCs w:val="28"/>
        </w:rPr>
        <w:t>.</w:t>
      </w:r>
    </w:p>
    <w:p w14:paraId="07D6944E" w14:textId="77777777" w:rsidR="002F5E4B" w:rsidRDefault="002F5E4B" w:rsidP="00393973">
      <w:pPr>
        <w:rPr>
          <w:sz w:val="28"/>
          <w:szCs w:val="28"/>
        </w:rPr>
      </w:pPr>
    </w:p>
    <w:p w14:paraId="4C31D4C6" w14:textId="77777777" w:rsidR="00496B4F" w:rsidRPr="00AE1ABF" w:rsidRDefault="00496B4F" w:rsidP="00393973">
      <w:pPr>
        <w:rPr>
          <w:sz w:val="28"/>
          <w:szCs w:val="28"/>
        </w:rPr>
      </w:pPr>
    </w:p>
    <w:p w14:paraId="7D609E95" w14:textId="54930270" w:rsidR="00DE0073" w:rsidRPr="00496B4F" w:rsidRDefault="00DE0073" w:rsidP="00DE0073">
      <w:pPr>
        <w:rPr>
          <w:b/>
          <w:color w:val="008000"/>
          <w:sz w:val="28"/>
          <w:szCs w:val="28"/>
        </w:rPr>
      </w:pPr>
      <w:r w:rsidRPr="00496B4F">
        <w:rPr>
          <w:b/>
          <w:color w:val="008000"/>
          <w:sz w:val="28"/>
          <w:szCs w:val="28"/>
        </w:rPr>
        <w:t>Slide 12 Title:</w:t>
      </w:r>
    </w:p>
    <w:p w14:paraId="7EB0C6C4" w14:textId="53E9D2CB" w:rsidR="00DE0073" w:rsidRPr="00C80E45" w:rsidRDefault="00176D9E" w:rsidP="00DE0073">
      <w:pPr>
        <w:rPr>
          <w:b/>
          <w:color w:val="1F497D" w:themeColor="text2"/>
          <w:sz w:val="28"/>
          <w:szCs w:val="28"/>
        </w:rPr>
      </w:pPr>
      <w:r w:rsidRPr="00C80E45">
        <w:rPr>
          <w:b/>
          <w:color w:val="1F497D" w:themeColor="text2"/>
          <w:sz w:val="28"/>
          <w:szCs w:val="28"/>
        </w:rPr>
        <w:t>Total Medical Expense growth was driven by hospital and physician services</w:t>
      </w:r>
      <w:r w:rsidR="00DE0073" w:rsidRPr="00C80E45">
        <w:rPr>
          <w:b/>
          <w:color w:val="1F497D" w:themeColor="text2"/>
          <w:sz w:val="28"/>
          <w:szCs w:val="28"/>
        </w:rPr>
        <w:t>.</w:t>
      </w:r>
    </w:p>
    <w:p w14:paraId="5F293DB9" w14:textId="77777777" w:rsidR="00496B4F" w:rsidRDefault="00496B4F" w:rsidP="00DE0073">
      <w:pPr>
        <w:rPr>
          <w:sz w:val="28"/>
          <w:szCs w:val="28"/>
        </w:rPr>
      </w:pPr>
    </w:p>
    <w:p w14:paraId="0F34B189" w14:textId="3FBFC4FC" w:rsidR="00496B4F" w:rsidRDefault="00496B4F" w:rsidP="00DE0073">
      <w:pPr>
        <w:rPr>
          <w:sz w:val="28"/>
          <w:szCs w:val="28"/>
        </w:rPr>
      </w:pPr>
      <w:r w:rsidRPr="00496B4F">
        <w:rPr>
          <w:noProof/>
        </w:rPr>
        <w:drawing>
          <wp:inline distT="0" distB="0" distL="0" distR="0" wp14:anchorId="4681F671" wp14:editId="58EED888">
            <wp:extent cx="5943600" cy="3390363"/>
            <wp:effectExtent l="0" t="0" r="0" b="0"/>
            <wp:docPr id="1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390363"/>
                    </a:xfrm>
                    <a:prstGeom prst="rect">
                      <a:avLst/>
                    </a:prstGeom>
                    <a:noFill/>
                    <a:ln>
                      <a:noFill/>
                    </a:ln>
                  </pic:spPr>
                </pic:pic>
              </a:graphicData>
            </a:graphic>
          </wp:inline>
        </w:drawing>
      </w:r>
    </w:p>
    <w:p w14:paraId="5EC64B28" w14:textId="26390696" w:rsidR="00DE0073" w:rsidRPr="00496B4F" w:rsidRDefault="00DE0073" w:rsidP="00DE0073">
      <w:pPr>
        <w:rPr>
          <w:b/>
          <w:color w:val="008000"/>
          <w:sz w:val="28"/>
          <w:szCs w:val="28"/>
        </w:rPr>
      </w:pPr>
      <w:r w:rsidRPr="00496B4F">
        <w:rPr>
          <w:b/>
          <w:color w:val="008000"/>
          <w:sz w:val="28"/>
          <w:szCs w:val="28"/>
        </w:rPr>
        <w:t xml:space="preserve">Slide 12 </w:t>
      </w:r>
      <w:r w:rsidR="00261B23">
        <w:rPr>
          <w:b/>
          <w:color w:val="008000"/>
          <w:sz w:val="28"/>
          <w:szCs w:val="28"/>
        </w:rPr>
        <w:t>Narration</w:t>
      </w:r>
      <w:r w:rsidRPr="00496B4F">
        <w:rPr>
          <w:b/>
          <w:color w:val="008000"/>
          <w:sz w:val="28"/>
          <w:szCs w:val="28"/>
        </w:rPr>
        <w:t>:</w:t>
      </w:r>
    </w:p>
    <w:p w14:paraId="5B918300" w14:textId="77777777" w:rsidR="00380DE6" w:rsidRDefault="00380DE6" w:rsidP="00176D9E">
      <w:pPr>
        <w:rPr>
          <w:sz w:val="28"/>
          <w:szCs w:val="28"/>
        </w:rPr>
      </w:pPr>
    </w:p>
    <w:p w14:paraId="45EFD67E" w14:textId="77777777" w:rsidR="00176D9E" w:rsidRPr="00AE1ABF" w:rsidRDefault="00176D9E" w:rsidP="00176D9E">
      <w:pPr>
        <w:rPr>
          <w:sz w:val="28"/>
          <w:szCs w:val="28"/>
        </w:rPr>
      </w:pPr>
      <w:r w:rsidRPr="00AE1ABF">
        <w:rPr>
          <w:sz w:val="28"/>
          <w:szCs w:val="28"/>
        </w:rPr>
        <w:t xml:space="preserve">Total Medical Expenses (“TME”) for all payers in the Commonwealth increased by 3.8% between 2010 and 2011. TME includes payer spending on member medical expenses, patient cost-sharing, and the self-insured market. The growth in spending was driven primarily by hospital and physician services, which represented 74% of Total Medical Expenses in 2011. Physician spending rose by 6%, and non-claims payments (still a small amount) rose by 24%. </w:t>
      </w:r>
    </w:p>
    <w:p w14:paraId="1D048707" w14:textId="77777777" w:rsidR="00176D9E" w:rsidRPr="00AE1ABF" w:rsidRDefault="00176D9E" w:rsidP="00176D9E">
      <w:pPr>
        <w:rPr>
          <w:sz w:val="28"/>
          <w:szCs w:val="28"/>
        </w:rPr>
      </w:pPr>
      <w:r w:rsidRPr="00AE1ABF">
        <w:rPr>
          <w:sz w:val="28"/>
          <w:szCs w:val="28"/>
        </w:rPr>
        <w:t xml:space="preserve"> </w:t>
      </w:r>
    </w:p>
    <w:p w14:paraId="783E2468" w14:textId="7E25D44C" w:rsidR="00DE0073" w:rsidRPr="00AE1ABF" w:rsidRDefault="00176D9E" w:rsidP="00176D9E">
      <w:pPr>
        <w:rPr>
          <w:sz w:val="28"/>
          <w:szCs w:val="28"/>
        </w:rPr>
      </w:pPr>
      <w:r w:rsidRPr="00AE1ABF">
        <w:rPr>
          <w:sz w:val="28"/>
          <w:szCs w:val="28"/>
        </w:rPr>
        <w:t>Payers estimate a projected 2% growth in overall TME between 2011 and 2012</w:t>
      </w:r>
      <w:r w:rsidR="00DE0073" w:rsidRPr="00AE1ABF">
        <w:rPr>
          <w:sz w:val="28"/>
          <w:szCs w:val="28"/>
        </w:rPr>
        <w:t>.</w:t>
      </w:r>
    </w:p>
    <w:p w14:paraId="376724DB" w14:textId="77777777" w:rsidR="002F5E4B" w:rsidRDefault="002F5E4B" w:rsidP="002F5E4B">
      <w:pPr>
        <w:rPr>
          <w:sz w:val="28"/>
          <w:szCs w:val="28"/>
        </w:rPr>
      </w:pPr>
    </w:p>
    <w:p w14:paraId="2EBC7F5B" w14:textId="77777777" w:rsidR="00496B4F" w:rsidRPr="00AE1ABF" w:rsidRDefault="00496B4F" w:rsidP="002F5E4B">
      <w:pPr>
        <w:rPr>
          <w:sz w:val="28"/>
          <w:szCs w:val="28"/>
        </w:rPr>
      </w:pPr>
    </w:p>
    <w:p w14:paraId="1BC717D6" w14:textId="66470250" w:rsidR="00DE0073" w:rsidRPr="00496B4F" w:rsidRDefault="00DE0073" w:rsidP="00DE0073">
      <w:pPr>
        <w:rPr>
          <w:b/>
          <w:color w:val="008000"/>
          <w:sz w:val="28"/>
          <w:szCs w:val="28"/>
        </w:rPr>
      </w:pPr>
      <w:r w:rsidRPr="00496B4F">
        <w:rPr>
          <w:b/>
          <w:color w:val="008000"/>
          <w:sz w:val="28"/>
          <w:szCs w:val="28"/>
        </w:rPr>
        <w:t>Slide 1</w:t>
      </w:r>
      <w:r w:rsidR="007F2906" w:rsidRPr="00496B4F">
        <w:rPr>
          <w:b/>
          <w:color w:val="008000"/>
          <w:sz w:val="28"/>
          <w:szCs w:val="28"/>
        </w:rPr>
        <w:t>3</w:t>
      </w:r>
      <w:r w:rsidRPr="00496B4F">
        <w:rPr>
          <w:b/>
          <w:color w:val="008000"/>
          <w:sz w:val="28"/>
          <w:szCs w:val="28"/>
        </w:rPr>
        <w:t xml:space="preserve"> Title:</w:t>
      </w:r>
    </w:p>
    <w:p w14:paraId="3FEA2012" w14:textId="0A6D4844" w:rsidR="00DE0073" w:rsidRPr="00C80E45" w:rsidRDefault="007F2906" w:rsidP="00DE0073">
      <w:pPr>
        <w:rPr>
          <w:b/>
          <w:color w:val="1F497D" w:themeColor="text2"/>
          <w:sz w:val="28"/>
          <w:szCs w:val="28"/>
        </w:rPr>
      </w:pPr>
      <w:r w:rsidRPr="00C80E45">
        <w:rPr>
          <w:b/>
          <w:color w:val="1F497D" w:themeColor="text2"/>
          <w:sz w:val="28"/>
          <w:szCs w:val="28"/>
        </w:rPr>
        <w:t>Hospital-</w:t>
      </w:r>
      <w:r w:rsidR="00496B4F" w:rsidRPr="00C80E45">
        <w:rPr>
          <w:b/>
          <w:color w:val="1F497D" w:themeColor="text2"/>
          <w:sz w:val="28"/>
          <w:szCs w:val="28"/>
        </w:rPr>
        <w:t xml:space="preserve">physician systems dominate the </w:t>
      </w:r>
      <w:r w:rsidRPr="00C80E45">
        <w:rPr>
          <w:b/>
          <w:color w:val="1F497D" w:themeColor="text2"/>
          <w:sz w:val="28"/>
          <w:szCs w:val="28"/>
        </w:rPr>
        <w:t>market as consolidation continues</w:t>
      </w:r>
      <w:r w:rsidR="00DE0073" w:rsidRPr="00C80E45">
        <w:rPr>
          <w:b/>
          <w:color w:val="1F497D" w:themeColor="text2"/>
          <w:sz w:val="28"/>
          <w:szCs w:val="28"/>
        </w:rPr>
        <w:t>.</w:t>
      </w:r>
    </w:p>
    <w:p w14:paraId="106E8E38" w14:textId="77777777" w:rsidR="00496B4F" w:rsidRDefault="00496B4F" w:rsidP="00DE0073">
      <w:pPr>
        <w:rPr>
          <w:sz w:val="28"/>
          <w:szCs w:val="28"/>
        </w:rPr>
      </w:pPr>
    </w:p>
    <w:p w14:paraId="1D725A80" w14:textId="74DD5C09" w:rsidR="00C80E45" w:rsidRDefault="00C80E45" w:rsidP="00DE0073">
      <w:pPr>
        <w:rPr>
          <w:sz w:val="28"/>
          <w:szCs w:val="28"/>
        </w:rPr>
      </w:pPr>
      <w:r w:rsidRPr="00C80E45">
        <w:rPr>
          <w:noProof/>
        </w:rPr>
        <w:drawing>
          <wp:inline distT="0" distB="0" distL="0" distR="0" wp14:anchorId="74CAA8C2" wp14:editId="3741DD8E">
            <wp:extent cx="3987800" cy="4178300"/>
            <wp:effectExtent l="0" t="0" r="0" b="12700"/>
            <wp:docPr id="1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87800" cy="4178300"/>
                    </a:xfrm>
                    <a:prstGeom prst="rect">
                      <a:avLst/>
                    </a:prstGeom>
                    <a:noFill/>
                    <a:ln>
                      <a:noFill/>
                    </a:ln>
                  </pic:spPr>
                </pic:pic>
              </a:graphicData>
            </a:graphic>
          </wp:inline>
        </w:drawing>
      </w:r>
    </w:p>
    <w:p w14:paraId="4706B17F" w14:textId="77777777" w:rsidR="00C80E45" w:rsidRPr="00AE1ABF" w:rsidRDefault="00C80E45" w:rsidP="00DE0073">
      <w:pPr>
        <w:rPr>
          <w:sz w:val="28"/>
          <w:szCs w:val="28"/>
        </w:rPr>
      </w:pPr>
    </w:p>
    <w:p w14:paraId="13DD2D48" w14:textId="463CC65E" w:rsidR="00DE0073" w:rsidRPr="00496B4F" w:rsidRDefault="007F2906" w:rsidP="00DE0073">
      <w:pPr>
        <w:rPr>
          <w:b/>
          <w:color w:val="008000"/>
          <w:sz w:val="28"/>
          <w:szCs w:val="28"/>
        </w:rPr>
      </w:pPr>
      <w:r w:rsidRPr="00496B4F">
        <w:rPr>
          <w:b/>
          <w:color w:val="008000"/>
          <w:sz w:val="28"/>
          <w:szCs w:val="28"/>
        </w:rPr>
        <w:t>Slide 13</w:t>
      </w:r>
      <w:r w:rsidR="00DE0073" w:rsidRPr="00496B4F">
        <w:rPr>
          <w:b/>
          <w:color w:val="008000"/>
          <w:sz w:val="28"/>
          <w:szCs w:val="28"/>
        </w:rPr>
        <w:t xml:space="preserve"> </w:t>
      </w:r>
      <w:r w:rsidR="00261B23">
        <w:rPr>
          <w:b/>
          <w:color w:val="008000"/>
          <w:sz w:val="28"/>
          <w:szCs w:val="28"/>
        </w:rPr>
        <w:t>Narration</w:t>
      </w:r>
      <w:r w:rsidR="00DE0073" w:rsidRPr="00496B4F">
        <w:rPr>
          <w:b/>
          <w:color w:val="008000"/>
          <w:sz w:val="28"/>
          <w:szCs w:val="28"/>
        </w:rPr>
        <w:t>:</w:t>
      </w:r>
    </w:p>
    <w:p w14:paraId="4D3093E6" w14:textId="77777777" w:rsidR="00380DE6" w:rsidRDefault="00380DE6" w:rsidP="002F5E4B">
      <w:pPr>
        <w:rPr>
          <w:sz w:val="28"/>
          <w:szCs w:val="28"/>
        </w:rPr>
      </w:pPr>
    </w:p>
    <w:p w14:paraId="12732455" w14:textId="04DE46B4" w:rsidR="002F5E4B" w:rsidRPr="00AE1ABF" w:rsidRDefault="009550FD" w:rsidP="002F5E4B">
      <w:pPr>
        <w:rPr>
          <w:sz w:val="28"/>
          <w:szCs w:val="28"/>
        </w:rPr>
      </w:pPr>
      <w:r w:rsidRPr="00AE1ABF">
        <w:rPr>
          <w:sz w:val="28"/>
          <w:szCs w:val="28"/>
        </w:rPr>
        <w:t>Hospitals and physicians affiliated with larger provider systems received 75% of the payments made to all providers in Massachusetts in 2011. Partners HealthCare, at 28% of all payments, is the dominant provider system in Massachusetts</w:t>
      </w:r>
      <w:r w:rsidR="00F971CD">
        <w:rPr>
          <w:sz w:val="28"/>
          <w:szCs w:val="28"/>
        </w:rPr>
        <w:t xml:space="preserve">. </w:t>
      </w:r>
      <w:r w:rsidRPr="00AE1ABF">
        <w:rPr>
          <w:sz w:val="28"/>
          <w:szCs w:val="28"/>
        </w:rPr>
        <w:t>They received more than 3 times the amount that went to the next closest system, CareGroup at 9% of provider payments</w:t>
      </w:r>
      <w:r w:rsidR="00DE0073" w:rsidRPr="00AE1ABF">
        <w:rPr>
          <w:sz w:val="28"/>
          <w:szCs w:val="28"/>
        </w:rPr>
        <w:t>.</w:t>
      </w:r>
    </w:p>
    <w:p w14:paraId="0AFDB00A" w14:textId="77777777" w:rsidR="002F5E4B" w:rsidRDefault="002F5E4B" w:rsidP="002F5E4B">
      <w:pPr>
        <w:rPr>
          <w:sz w:val="28"/>
          <w:szCs w:val="28"/>
        </w:rPr>
      </w:pPr>
    </w:p>
    <w:p w14:paraId="19985E1F" w14:textId="77777777" w:rsidR="00761877" w:rsidRDefault="00761877">
      <w:pPr>
        <w:rPr>
          <w:b/>
          <w:color w:val="008000"/>
          <w:sz w:val="28"/>
          <w:szCs w:val="28"/>
        </w:rPr>
      </w:pPr>
      <w:r>
        <w:rPr>
          <w:b/>
          <w:color w:val="008000"/>
          <w:sz w:val="28"/>
          <w:szCs w:val="28"/>
        </w:rPr>
        <w:br w:type="page"/>
      </w:r>
    </w:p>
    <w:p w14:paraId="324D8DF8" w14:textId="3944A5C6" w:rsidR="00DE0073" w:rsidRPr="00496B4F" w:rsidRDefault="00DE0073" w:rsidP="00DE0073">
      <w:pPr>
        <w:rPr>
          <w:b/>
          <w:color w:val="008000"/>
          <w:sz w:val="28"/>
          <w:szCs w:val="28"/>
        </w:rPr>
      </w:pPr>
      <w:r w:rsidRPr="00496B4F">
        <w:rPr>
          <w:b/>
          <w:color w:val="008000"/>
          <w:sz w:val="28"/>
          <w:szCs w:val="28"/>
        </w:rPr>
        <w:lastRenderedPageBreak/>
        <w:t>Slide 1</w:t>
      </w:r>
      <w:r w:rsidR="007F2906" w:rsidRPr="00496B4F">
        <w:rPr>
          <w:b/>
          <w:color w:val="008000"/>
          <w:sz w:val="28"/>
          <w:szCs w:val="28"/>
        </w:rPr>
        <w:t>4</w:t>
      </w:r>
      <w:r w:rsidRPr="00496B4F">
        <w:rPr>
          <w:b/>
          <w:color w:val="008000"/>
          <w:sz w:val="28"/>
          <w:szCs w:val="28"/>
        </w:rPr>
        <w:t xml:space="preserve"> Title:</w:t>
      </w:r>
    </w:p>
    <w:p w14:paraId="644C2015" w14:textId="6C5F91C1" w:rsidR="00DE0073" w:rsidRPr="003D29D2" w:rsidRDefault="003D29D2" w:rsidP="00DE0073">
      <w:pPr>
        <w:rPr>
          <w:b/>
          <w:color w:val="1F497D" w:themeColor="text2"/>
          <w:sz w:val="28"/>
          <w:szCs w:val="28"/>
        </w:rPr>
      </w:pPr>
      <w:r w:rsidRPr="003D29D2">
        <w:rPr>
          <w:b/>
          <w:bCs/>
          <w:color w:val="1F497D" w:themeColor="text2"/>
          <w:sz w:val="28"/>
          <w:szCs w:val="28"/>
        </w:rPr>
        <w:t>Partners is the biggest system and commands the highest prices</w:t>
      </w:r>
      <w:r w:rsidR="00DE0073" w:rsidRPr="003D29D2">
        <w:rPr>
          <w:b/>
          <w:color w:val="1F497D" w:themeColor="text2"/>
          <w:sz w:val="28"/>
          <w:szCs w:val="28"/>
        </w:rPr>
        <w:t>.</w:t>
      </w:r>
    </w:p>
    <w:p w14:paraId="7076B842" w14:textId="77777777" w:rsidR="00496B4F" w:rsidRDefault="00496B4F" w:rsidP="00DE0073">
      <w:pPr>
        <w:rPr>
          <w:sz w:val="28"/>
          <w:szCs w:val="28"/>
        </w:rPr>
      </w:pPr>
    </w:p>
    <w:p w14:paraId="095E1250" w14:textId="77777777" w:rsidR="00E77FEF" w:rsidRDefault="00E77FEF" w:rsidP="00DE0073">
      <w:pPr>
        <w:rPr>
          <w:sz w:val="28"/>
          <w:szCs w:val="28"/>
        </w:rPr>
      </w:pPr>
    </w:p>
    <w:p w14:paraId="0BE95D5D" w14:textId="46A9C898" w:rsidR="003D29D2" w:rsidRDefault="003D29D2" w:rsidP="00DE0073">
      <w:pPr>
        <w:rPr>
          <w:sz w:val="28"/>
          <w:szCs w:val="28"/>
        </w:rPr>
      </w:pPr>
      <w:r w:rsidRPr="003D29D2">
        <w:rPr>
          <w:noProof/>
        </w:rPr>
        <w:drawing>
          <wp:inline distT="0" distB="0" distL="0" distR="0" wp14:anchorId="53B439E0" wp14:editId="1A6AFF33">
            <wp:extent cx="5943600" cy="2712458"/>
            <wp:effectExtent l="0" t="0" r="0" b="5715"/>
            <wp:docPr id="1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712458"/>
                    </a:xfrm>
                    <a:prstGeom prst="rect">
                      <a:avLst/>
                    </a:prstGeom>
                    <a:noFill/>
                    <a:ln>
                      <a:noFill/>
                    </a:ln>
                  </pic:spPr>
                </pic:pic>
              </a:graphicData>
            </a:graphic>
          </wp:inline>
        </w:drawing>
      </w:r>
    </w:p>
    <w:p w14:paraId="12AF6ABA" w14:textId="77777777" w:rsidR="003D29D2" w:rsidRDefault="003D29D2" w:rsidP="00DE0073">
      <w:pPr>
        <w:rPr>
          <w:sz w:val="28"/>
          <w:szCs w:val="28"/>
        </w:rPr>
      </w:pPr>
    </w:p>
    <w:p w14:paraId="0152C526" w14:textId="77777777" w:rsidR="003D29D2" w:rsidRPr="00AE1ABF" w:rsidRDefault="003D29D2" w:rsidP="00DE0073">
      <w:pPr>
        <w:rPr>
          <w:sz w:val="28"/>
          <w:szCs w:val="28"/>
        </w:rPr>
      </w:pPr>
    </w:p>
    <w:p w14:paraId="5777C049" w14:textId="33496E57" w:rsidR="00DE0073" w:rsidRPr="00496B4F" w:rsidRDefault="00DE0073" w:rsidP="00DE0073">
      <w:pPr>
        <w:rPr>
          <w:b/>
          <w:color w:val="008000"/>
          <w:sz w:val="28"/>
          <w:szCs w:val="28"/>
        </w:rPr>
      </w:pPr>
      <w:r w:rsidRPr="00496B4F">
        <w:rPr>
          <w:b/>
          <w:color w:val="008000"/>
          <w:sz w:val="28"/>
          <w:szCs w:val="28"/>
        </w:rPr>
        <w:t>Slide 1</w:t>
      </w:r>
      <w:r w:rsidR="007F2906" w:rsidRPr="00496B4F">
        <w:rPr>
          <w:b/>
          <w:color w:val="008000"/>
          <w:sz w:val="28"/>
          <w:szCs w:val="28"/>
        </w:rPr>
        <w:t>4</w:t>
      </w:r>
      <w:r w:rsidRPr="00496B4F">
        <w:rPr>
          <w:b/>
          <w:color w:val="008000"/>
          <w:sz w:val="28"/>
          <w:szCs w:val="28"/>
        </w:rPr>
        <w:t xml:space="preserve"> </w:t>
      </w:r>
      <w:r w:rsidR="00261B23">
        <w:rPr>
          <w:b/>
          <w:color w:val="008000"/>
          <w:sz w:val="28"/>
          <w:szCs w:val="28"/>
        </w:rPr>
        <w:t>Narration</w:t>
      </w:r>
      <w:r w:rsidRPr="00496B4F">
        <w:rPr>
          <w:b/>
          <w:color w:val="008000"/>
          <w:sz w:val="28"/>
          <w:szCs w:val="28"/>
        </w:rPr>
        <w:t>:</w:t>
      </w:r>
    </w:p>
    <w:p w14:paraId="78F13F8E" w14:textId="77777777" w:rsidR="00E77FEF" w:rsidRDefault="00E77FEF" w:rsidP="003D29D2">
      <w:pPr>
        <w:rPr>
          <w:sz w:val="28"/>
          <w:szCs w:val="28"/>
        </w:rPr>
      </w:pPr>
    </w:p>
    <w:p w14:paraId="7A889C2B" w14:textId="5BB37E7B" w:rsidR="002F5E4B" w:rsidRPr="00AE1ABF" w:rsidRDefault="003D29D2" w:rsidP="003D29D2">
      <w:pPr>
        <w:rPr>
          <w:sz w:val="28"/>
          <w:szCs w:val="28"/>
        </w:rPr>
      </w:pPr>
      <w:r w:rsidRPr="003D29D2">
        <w:rPr>
          <w:sz w:val="28"/>
          <w:szCs w:val="28"/>
        </w:rPr>
        <w:t>From a price perspective, acute care hospitals affiliated with Partners HealthCare generally negotiated higher than average prices at every plan. Prices for providers affiliated with CareGroup and UMass, the next largest systems, were generally more in line with payer</w:t>
      </w:r>
      <w:r>
        <w:rPr>
          <w:sz w:val="28"/>
          <w:szCs w:val="28"/>
        </w:rPr>
        <w:t>s’ network average price levels</w:t>
      </w:r>
      <w:r w:rsidR="002F5E4B" w:rsidRPr="00AE1ABF">
        <w:rPr>
          <w:sz w:val="28"/>
          <w:szCs w:val="28"/>
        </w:rPr>
        <w:t>.</w:t>
      </w:r>
    </w:p>
    <w:p w14:paraId="0A28F16A" w14:textId="77777777" w:rsidR="002F5E4B" w:rsidRDefault="002F5E4B" w:rsidP="002F5E4B">
      <w:pPr>
        <w:rPr>
          <w:sz w:val="28"/>
          <w:szCs w:val="28"/>
        </w:rPr>
      </w:pPr>
    </w:p>
    <w:p w14:paraId="1587A0E8" w14:textId="77777777" w:rsidR="00496B4F" w:rsidRPr="00AE1ABF" w:rsidRDefault="00496B4F" w:rsidP="002F5E4B">
      <w:pPr>
        <w:rPr>
          <w:sz w:val="28"/>
          <w:szCs w:val="28"/>
        </w:rPr>
      </w:pPr>
    </w:p>
    <w:p w14:paraId="67C84724" w14:textId="77777777" w:rsidR="00E77FEF" w:rsidRDefault="00E77FEF">
      <w:pPr>
        <w:rPr>
          <w:b/>
          <w:color w:val="008000"/>
          <w:sz w:val="28"/>
          <w:szCs w:val="28"/>
        </w:rPr>
      </w:pPr>
      <w:r>
        <w:rPr>
          <w:b/>
          <w:color w:val="008000"/>
          <w:sz w:val="28"/>
          <w:szCs w:val="28"/>
        </w:rPr>
        <w:br w:type="page"/>
      </w:r>
    </w:p>
    <w:p w14:paraId="70740A3D" w14:textId="1F9D1200" w:rsidR="00DE0073" w:rsidRPr="00761877" w:rsidRDefault="00DE0073" w:rsidP="00DE0073">
      <w:pPr>
        <w:rPr>
          <w:b/>
          <w:color w:val="008000"/>
          <w:sz w:val="28"/>
          <w:szCs w:val="28"/>
        </w:rPr>
      </w:pPr>
      <w:r w:rsidRPr="00761877">
        <w:rPr>
          <w:b/>
          <w:color w:val="008000"/>
          <w:sz w:val="28"/>
          <w:szCs w:val="28"/>
        </w:rPr>
        <w:lastRenderedPageBreak/>
        <w:t>Slide 1</w:t>
      </w:r>
      <w:r w:rsidR="007F2906" w:rsidRPr="00761877">
        <w:rPr>
          <w:b/>
          <w:color w:val="008000"/>
          <w:sz w:val="28"/>
          <w:szCs w:val="28"/>
        </w:rPr>
        <w:t>5</w:t>
      </w:r>
      <w:r w:rsidRPr="00761877">
        <w:rPr>
          <w:b/>
          <w:color w:val="008000"/>
          <w:sz w:val="28"/>
          <w:szCs w:val="28"/>
        </w:rPr>
        <w:t xml:space="preserve"> Title:</w:t>
      </w:r>
    </w:p>
    <w:p w14:paraId="2EB9B787" w14:textId="31B7C916" w:rsidR="00DE0073" w:rsidRPr="00761877" w:rsidRDefault="00C84D22" w:rsidP="00DE0073">
      <w:pPr>
        <w:rPr>
          <w:b/>
          <w:color w:val="1F497D" w:themeColor="text2"/>
          <w:sz w:val="28"/>
          <w:szCs w:val="28"/>
        </w:rPr>
      </w:pPr>
      <w:r w:rsidRPr="00C84D22">
        <w:rPr>
          <w:b/>
          <w:bCs/>
          <w:color w:val="1F497D" w:themeColor="text2"/>
          <w:sz w:val="28"/>
          <w:szCs w:val="28"/>
        </w:rPr>
        <w:t>High prices at large providers drive overall costs</w:t>
      </w:r>
      <w:r w:rsidR="00DE0073" w:rsidRPr="00761877">
        <w:rPr>
          <w:b/>
          <w:color w:val="1F497D" w:themeColor="text2"/>
          <w:sz w:val="28"/>
          <w:szCs w:val="28"/>
        </w:rPr>
        <w:t>.</w:t>
      </w:r>
    </w:p>
    <w:p w14:paraId="055F7FCA" w14:textId="77777777" w:rsidR="00761877" w:rsidRDefault="00761877" w:rsidP="00DE0073">
      <w:pPr>
        <w:rPr>
          <w:sz w:val="28"/>
          <w:szCs w:val="28"/>
        </w:rPr>
      </w:pPr>
    </w:p>
    <w:p w14:paraId="057EFBF3" w14:textId="606A62B2" w:rsidR="00C84D22" w:rsidRDefault="00581C71" w:rsidP="00DE0073">
      <w:pPr>
        <w:rPr>
          <w:sz w:val="28"/>
          <w:szCs w:val="28"/>
        </w:rPr>
      </w:pPr>
      <w:r w:rsidRPr="00581C71">
        <w:rPr>
          <w:noProof/>
        </w:rPr>
        <w:drawing>
          <wp:inline distT="0" distB="0" distL="0" distR="0" wp14:anchorId="49A3D626" wp14:editId="0CC443D1">
            <wp:extent cx="4432300" cy="4127500"/>
            <wp:effectExtent l="0" t="0" r="12700" b="12700"/>
            <wp:docPr id="2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32300" cy="4127500"/>
                    </a:xfrm>
                    <a:prstGeom prst="rect">
                      <a:avLst/>
                    </a:prstGeom>
                    <a:noFill/>
                    <a:ln>
                      <a:noFill/>
                    </a:ln>
                  </pic:spPr>
                </pic:pic>
              </a:graphicData>
            </a:graphic>
          </wp:inline>
        </w:drawing>
      </w:r>
    </w:p>
    <w:p w14:paraId="73945CA3" w14:textId="77777777" w:rsidR="00C84D22" w:rsidRPr="00AE1ABF" w:rsidRDefault="00C84D22" w:rsidP="00DE0073">
      <w:pPr>
        <w:rPr>
          <w:sz w:val="28"/>
          <w:szCs w:val="28"/>
        </w:rPr>
      </w:pPr>
    </w:p>
    <w:p w14:paraId="25C28924" w14:textId="55461C6B" w:rsidR="00DE0073" w:rsidRPr="00761877" w:rsidRDefault="00DE0073" w:rsidP="00DE0073">
      <w:pPr>
        <w:rPr>
          <w:b/>
          <w:color w:val="008000"/>
          <w:sz w:val="28"/>
          <w:szCs w:val="28"/>
        </w:rPr>
      </w:pPr>
      <w:r w:rsidRPr="00761877">
        <w:rPr>
          <w:b/>
          <w:color w:val="008000"/>
          <w:sz w:val="28"/>
          <w:szCs w:val="28"/>
        </w:rPr>
        <w:t>Slide 1</w:t>
      </w:r>
      <w:r w:rsidR="007F2906" w:rsidRPr="00761877">
        <w:rPr>
          <w:b/>
          <w:color w:val="008000"/>
          <w:sz w:val="28"/>
          <w:szCs w:val="28"/>
        </w:rPr>
        <w:t>5</w:t>
      </w:r>
      <w:r w:rsidRPr="00761877">
        <w:rPr>
          <w:b/>
          <w:color w:val="008000"/>
          <w:sz w:val="28"/>
          <w:szCs w:val="28"/>
        </w:rPr>
        <w:t xml:space="preserve"> </w:t>
      </w:r>
      <w:r w:rsidR="00261B23">
        <w:rPr>
          <w:b/>
          <w:color w:val="008000"/>
          <w:sz w:val="28"/>
          <w:szCs w:val="28"/>
        </w:rPr>
        <w:t>Narration</w:t>
      </w:r>
      <w:r w:rsidRPr="00761877">
        <w:rPr>
          <w:b/>
          <w:color w:val="008000"/>
          <w:sz w:val="28"/>
          <w:szCs w:val="28"/>
        </w:rPr>
        <w:t>:</w:t>
      </w:r>
    </w:p>
    <w:p w14:paraId="119D328F" w14:textId="77777777" w:rsidR="00581C71" w:rsidRDefault="00581C71" w:rsidP="002F5E4B">
      <w:pPr>
        <w:rPr>
          <w:sz w:val="28"/>
          <w:szCs w:val="28"/>
        </w:rPr>
      </w:pPr>
    </w:p>
    <w:p w14:paraId="7D964D85" w14:textId="62632C09" w:rsidR="002F5E4B" w:rsidRPr="00AE1ABF" w:rsidRDefault="00581C71" w:rsidP="002F5E4B">
      <w:pPr>
        <w:rPr>
          <w:sz w:val="28"/>
          <w:szCs w:val="28"/>
        </w:rPr>
      </w:pPr>
      <w:r w:rsidRPr="00581C71">
        <w:rPr>
          <w:sz w:val="28"/>
          <w:szCs w:val="28"/>
        </w:rPr>
        <w:t>80% of overall payments to providers went to hospitals and physician groups with higher than average prices in each payer’s network, while over 50% of payments to providers went to the highest priced providers. This reflects the fact that the highest price providers in many cases are the largest providers with the greatest service volume. Reducing the growth of overall costs will depend in part on achieving cost reductions in these facilities and systems, rather than</w:t>
      </w:r>
      <w:r>
        <w:rPr>
          <w:sz w:val="28"/>
          <w:szCs w:val="28"/>
        </w:rPr>
        <w:t xml:space="preserve"> in the lower priced providers</w:t>
      </w:r>
      <w:r w:rsidR="00DE0073" w:rsidRPr="00AE1ABF">
        <w:rPr>
          <w:sz w:val="28"/>
          <w:szCs w:val="28"/>
        </w:rPr>
        <w:t>.</w:t>
      </w:r>
    </w:p>
    <w:p w14:paraId="5FC219FE" w14:textId="77777777" w:rsidR="002F5E4B" w:rsidRDefault="002F5E4B" w:rsidP="002F5E4B">
      <w:pPr>
        <w:rPr>
          <w:sz w:val="28"/>
          <w:szCs w:val="28"/>
        </w:rPr>
      </w:pPr>
    </w:p>
    <w:p w14:paraId="0C01C022" w14:textId="77777777" w:rsidR="00761877" w:rsidRPr="00AE1ABF" w:rsidRDefault="00761877" w:rsidP="002F5E4B">
      <w:pPr>
        <w:rPr>
          <w:sz w:val="28"/>
          <w:szCs w:val="28"/>
        </w:rPr>
      </w:pPr>
    </w:p>
    <w:p w14:paraId="7CE81B7A" w14:textId="77777777" w:rsidR="00581C71" w:rsidRDefault="00581C71">
      <w:pPr>
        <w:rPr>
          <w:b/>
          <w:color w:val="008000"/>
          <w:sz w:val="28"/>
          <w:szCs w:val="28"/>
        </w:rPr>
      </w:pPr>
      <w:r>
        <w:rPr>
          <w:b/>
          <w:color w:val="008000"/>
          <w:sz w:val="28"/>
          <w:szCs w:val="28"/>
        </w:rPr>
        <w:br w:type="page"/>
      </w:r>
    </w:p>
    <w:p w14:paraId="5FC80FF0" w14:textId="60858264" w:rsidR="00DE0073" w:rsidRPr="00761877" w:rsidRDefault="00DE0073" w:rsidP="00DE0073">
      <w:pPr>
        <w:rPr>
          <w:b/>
          <w:color w:val="008000"/>
          <w:sz w:val="28"/>
          <w:szCs w:val="28"/>
        </w:rPr>
      </w:pPr>
      <w:r w:rsidRPr="00761877">
        <w:rPr>
          <w:b/>
          <w:color w:val="008000"/>
          <w:sz w:val="28"/>
          <w:szCs w:val="28"/>
        </w:rPr>
        <w:lastRenderedPageBreak/>
        <w:t>Slide 1</w:t>
      </w:r>
      <w:r w:rsidR="007F2906" w:rsidRPr="00761877">
        <w:rPr>
          <w:b/>
          <w:color w:val="008000"/>
          <w:sz w:val="28"/>
          <w:szCs w:val="28"/>
        </w:rPr>
        <w:t>6</w:t>
      </w:r>
      <w:r w:rsidRPr="00761877">
        <w:rPr>
          <w:b/>
          <w:color w:val="008000"/>
          <w:sz w:val="28"/>
          <w:szCs w:val="28"/>
        </w:rPr>
        <w:t xml:space="preserve"> Title:</w:t>
      </w:r>
    </w:p>
    <w:p w14:paraId="1918599C" w14:textId="770C2E05" w:rsidR="00DE0073" w:rsidRPr="00761877" w:rsidRDefault="00CD7252" w:rsidP="00DE0073">
      <w:pPr>
        <w:rPr>
          <w:b/>
          <w:color w:val="1F497D" w:themeColor="text2"/>
          <w:sz w:val="28"/>
          <w:szCs w:val="28"/>
        </w:rPr>
      </w:pPr>
      <w:r w:rsidRPr="00CD7252">
        <w:rPr>
          <w:b/>
          <w:bCs/>
          <w:color w:val="1F497D" w:themeColor="text2"/>
          <w:sz w:val="28"/>
          <w:szCs w:val="28"/>
        </w:rPr>
        <w:t>Health plans and providers deliver high quality care</w:t>
      </w:r>
      <w:r w:rsidR="00DE0073" w:rsidRPr="00761877">
        <w:rPr>
          <w:b/>
          <w:color w:val="1F497D" w:themeColor="text2"/>
          <w:sz w:val="28"/>
          <w:szCs w:val="28"/>
        </w:rPr>
        <w:t>.</w:t>
      </w:r>
    </w:p>
    <w:p w14:paraId="3BB62886" w14:textId="77777777" w:rsidR="00761877" w:rsidRDefault="00761877" w:rsidP="00DE0073">
      <w:pPr>
        <w:rPr>
          <w:sz w:val="28"/>
          <w:szCs w:val="28"/>
        </w:rPr>
      </w:pPr>
    </w:p>
    <w:p w14:paraId="3F8BACBD" w14:textId="654B8D36" w:rsidR="00CD7252" w:rsidRDefault="00F971CD" w:rsidP="00DE0073">
      <w:pPr>
        <w:rPr>
          <w:sz w:val="28"/>
          <w:szCs w:val="28"/>
        </w:rPr>
      </w:pPr>
      <w:r w:rsidRPr="00F971CD">
        <w:rPr>
          <w:noProof/>
        </w:rPr>
        <w:drawing>
          <wp:inline distT="0" distB="0" distL="0" distR="0" wp14:anchorId="02289C73" wp14:editId="1DDB8903">
            <wp:extent cx="5943600" cy="3022169"/>
            <wp:effectExtent l="0" t="0" r="0" b="635"/>
            <wp:docPr id="2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3022169"/>
                    </a:xfrm>
                    <a:prstGeom prst="rect">
                      <a:avLst/>
                    </a:prstGeom>
                    <a:noFill/>
                    <a:ln>
                      <a:noFill/>
                    </a:ln>
                  </pic:spPr>
                </pic:pic>
              </a:graphicData>
            </a:graphic>
          </wp:inline>
        </w:drawing>
      </w:r>
    </w:p>
    <w:p w14:paraId="6C6E9624" w14:textId="77777777" w:rsidR="00CD7252" w:rsidRPr="00AE1ABF" w:rsidRDefault="00CD7252" w:rsidP="00DE0073">
      <w:pPr>
        <w:rPr>
          <w:sz w:val="28"/>
          <w:szCs w:val="28"/>
        </w:rPr>
      </w:pPr>
    </w:p>
    <w:p w14:paraId="56326CF8" w14:textId="58043822" w:rsidR="00DE0073" w:rsidRPr="00761877" w:rsidRDefault="00DE0073" w:rsidP="00DE0073">
      <w:pPr>
        <w:rPr>
          <w:b/>
          <w:color w:val="008000"/>
          <w:sz w:val="28"/>
          <w:szCs w:val="28"/>
        </w:rPr>
      </w:pPr>
      <w:r w:rsidRPr="00761877">
        <w:rPr>
          <w:b/>
          <w:color w:val="008000"/>
          <w:sz w:val="28"/>
          <w:szCs w:val="28"/>
        </w:rPr>
        <w:t>Slide 1</w:t>
      </w:r>
      <w:r w:rsidR="007F2906" w:rsidRPr="00761877">
        <w:rPr>
          <w:b/>
          <w:color w:val="008000"/>
          <w:sz w:val="28"/>
          <w:szCs w:val="28"/>
        </w:rPr>
        <w:t>6</w:t>
      </w:r>
      <w:r w:rsidRPr="00761877">
        <w:rPr>
          <w:b/>
          <w:color w:val="008000"/>
          <w:sz w:val="28"/>
          <w:szCs w:val="28"/>
        </w:rPr>
        <w:t xml:space="preserve"> </w:t>
      </w:r>
      <w:r w:rsidR="00261B23">
        <w:rPr>
          <w:b/>
          <w:color w:val="008000"/>
          <w:sz w:val="28"/>
          <w:szCs w:val="28"/>
        </w:rPr>
        <w:t>Narration</w:t>
      </w:r>
      <w:r w:rsidRPr="00761877">
        <w:rPr>
          <w:b/>
          <w:color w:val="008000"/>
          <w:sz w:val="28"/>
          <w:szCs w:val="28"/>
        </w:rPr>
        <w:t>:</w:t>
      </w:r>
    </w:p>
    <w:p w14:paraId="29E2AEBE" w14:textId="77777777" w:rsidR="00F971CD" w:rsidRDefault="00F971CD" w:rsidP="00DE0073">
      <w:pPr>
        <w:rPr>
          <w:sz w:val="28"/>
          <w:szCs w:val="28"/>
        </w:rPr>
      </w:pPr>
    </w:p>
    <w:p w14:paraId="69200B9A" w14:textId="63435A0E" w:rsidR="002F5E4B" w:rsidRPr="00AE1ABF" w:rsidRDefault="00F971CD" w:rsidP="00DE0073">
      <w:pPr>
        <w:rPr>
          <w:sz w:val="28"/>
          <w:szCs w:val="28"/>
        </w:rPr>
      </w:pPr>
      <w:r w:rsidRPr="00F971CD">
        <w:rPr>
          <w:sz w:val="28"/>
          <w:szCs w:val="28"/>
        </w:rPr>
        <w:t>When examining quality, Massachusetts health plan and health care provider performance on select quality measures generally exceed national benchmarks. Though we do highlight opportunities for improvement in the report, there is little variation across plans and providers in quality performance. There is no clear correlation between these quality measures and either premium cost</w:t>
      </w:r>
      <w:r>
        <w:rPr>
          <w:sz w:val="28"/>
          <w:szCs w:val="28"/>
        </w:rPr>
        <w:t>s or Total Medical Expenditures</w:t>
      </w:r>
      <w:r w:rsidR="002F5E4B" w:rsidRPr="00AE1ABF">
        <w:rPr>
          <w:sz w:val="28"/>
          <w:szCs w:val="28"/>
        </w:rPr>
        <w:t>.</w:t>
      </w:r>
    </w:p>
    <w:p w14:paraId="0D6A0032" w14:textId="77777777" w:rsidR="002F5E4B" w:rsidRDefault="002F5E4B" w:rsidP="002F5E4B">
      <w:pPr>
        <w:rPr>
          <w:sz w:val="28"/>
          <w:szCs w:val="28"/>
        </w:rPr>
      </w:pPr>
    </w:p>
    <w:p w14:paraId="3A34992A" w14:textId="77777777" w:rsidR="00761877" w:rsidRPr="00AE1ABF" w:rsidRDefault="00761877" w:rsidP="002F5E4B">
      <w:pPr>
        <w:rPr>
          <w:sz w:val="28"/>
          <w:szCs w:val="28"/>
        </w:rPr>
      </w:pPr>
    </w:p>
    <w:p w14:paraId="485952F3" w14:textId="129A290A" w:rsidR="00176D9E" w:rsidRPr="00761877" w:rsidRDefault="00176D9E" w:rsidP="00176D9E">
      <w:pPr>
        <w:rPr>
          <w:b/>
          <w:color w:val="008000"/>
          <w:sz w:val="28"/>
          <w:szCs w:val="28"/>
        </w:rPr>
      </w:pPr>
      <w:r w:rsidRPr="00761877">
        <w:rPr>
          <w:b/>
          <w:color w:val="008000"/>
          <w:sz w:val="28"/>
          <w:szCs w:val="28"/>
        </w:rPr>
        <w:t>Slide 1</w:t>
      </w:r>
      <w:r w:rsidR="007F2906" w:rsidRPr="00761877">
        <w:rPr>
          <w:b/>
          <w:color w:val="008000"/>
          <w:sz w:val="28"/>
          <w:szCs w:val="28"/>
        </w:rPr>
        <w:t>7</w:t>
      </w:r>
      <w:r w:rsidRPr="00761877">
        <w:rPr>
          <w:b/>
          <w:color w:val="008000"/>
          <w:sz w:val="28"/>
          <w:szCs w:val="28"/>
        </w:rPr>
        <w:t xml:space="preserve"> Title:</w:t>
      </w:r>
    </w:p>
    <w:p w14:paraId="25D00773" w14:textId="2762C55D" w:rsidR="00176D9E" w:rsidRPr="00761877" w:rsidRDefault="00F971CD" w:rsidP="00176D9E">
      <w:pPr>
        <w:rPr>
          <w:b/>
          <w:color w:val="1F497D" w:themeColor="text2"/>
          <w:sz w:val="28"/>
          <w:szCs w:val="28"/>
        </w:rPr>
      </w:pPr>
      <w:r w:rsidRPr="00F971CD">
        <w:rPr>
          <w:b/>
          <w:bCs/>
          <w:color w:val="1F497D" w:themeColor="text2"/>
          <w:sz w:val="28"/>
          <w:szCs w:val="28"/>
        </w:rPr>
        <w:t xml:space="preserve">CHIA: Monitoring a Bilateral Oligopoly with Differentiated Products </w:t>
      </w:r>
      <w:r>
        <w:rPr>
          <w:b/>
          <w:bCs/>
          <w:color w:val="1F497D" w:themeColor="text2"/>
          <w:sz w:val="28"/>
          <w:szCs w:val="28"/>
        </w:rPr>
        <w:br/>
      </w:r>
      <w:r w:rsidRPr="00F971CD">
        <w:rPr>
          <w:b/>
          <w:bCs/>
          <w:color w:val="1F497D" w:themeColor="text2"/>
          <w:sz w:val="28"/>
          <w:szCs w:val="28"/>
        </w:rPr>
        <w:t>since 2012</w:t>
      </w:r>
      <w:r w:rsidR="00176D9E" w:rsidRPr="00761877">
        <w:rPr>
          <w:b/>
          <w:color w:val="1F497D" w:themeColor="text2"/>
          <w:sz w:val="28"/>
          <w:szCs w:val="28"/>
        </w:rPr>
        <w:t>.</w:t>
      </w:r>
    </w:p>
    <w:p w14:paraId="563D62BD" w14:textId="77777777" w:rsidR="00761877" w:rsidRPr="00AE1ABF" w:rsidRDefault="00761877" w:rsidP="00176D9E">
      <w:pPr>
        <w:rPr>
          <w:sz w:val="28"/>
          <w:szCs w:val="28"/>
        </w:rPr>
      </w:pPr>
    </w:p>
    <w:p w14:paraId="38BA9215" w14:textId="1E8B64AD" w:rsidR="00176D9E" w:rsidRPr="00761877" w:rsidRDefault="00176D9E" w:rsidP="00176D9E">
      <w:pPr>
        <w:rPr>
          <w:b/>
          <w:color w:val="008000"/>
          <w:sz w:val="28"/>
          <w:szCs w:val="28"/>
        </w:rPr>
      </w:pPr>
      <w:r w:rsidRPr="00761877">
        <w:rPr>
          <w:b/>
          <w:color w:val="008000"/>
          <w:sz w:val="28"/>
          <w:szCs w:val="28"/>
        </w:rPr>
        <w:t>Slide 1</w:t>
      </w:r>
      <w:r w:rsidR="007F2906" w:rsidRPr="00761877">
        <w:rPr>
          <w:b/>
          <w:color w:val="008000"/>
          <w:sz w:val="28"/>
          <w:szCs w:val="28"/>
        </w:rPr>
        <w:t>7</w:t>
      </w:r>
      <w:r w:rsidRPr="00761877">
        <w:rPr>
          <w:b/>
          <w:color w:val="008000"/>
          <w:sz w:val="28"/>
          <w:szCs w:val="28"/>
        </w:rPr>
        <w:t xml:space="preserve"> </w:t>
      </w:r>
      <w:r w:rsidR="00261B23">
        <w:rPr>
          <w:b/>
          <w:color w:val="008000"/>
          <w:sz w:val="28"/>
          <w:szCs w:val="28"/>
        </w:rPr>
        <w:t>Narration</w:t>
      </w:r>
      <w:r w:rsidRPr="00761877">
        <w:rPr>
          <w:b/>
          <w:color w:val="008000"/>
          <w:sz w:val="28"/>
          <w:szCs w:val="28"/>
        </w:rPr>
        <w:t>:</w:t>
      </w:r>
    </w:p>
    <w:p w14:paraId="747BE4C6" w14:textId="77777777" w:rsidR="00F971CD" w:rsidRDefault="00F971CD" w:rsidP="00F971CD">
      <w:pPr>
        <w:rPr>
          <w:sz w:val="28"/>
          <w:szCs w:val="28"/>
        </w:rPr>
      </w:pPr>
    </w:p>
    <w:p w14:paraId="0DAB7327" w14:textId="7F6CE9AF" w:rsidR="00F971CD" w:rsidRPr="00F971CD" w:rsidRDefault="00F971CD" w:rsidP="00F971CD">
      <w:pPr>
        <w:rPr>
          <w:sz w:val="28"/>
          <w:szCs w:val="28"/>
        </w:rPr>
      </w:pPr>
      <w:r w:rsidRPr="00F971CD">
        <w:rPr>
          <w:sz w:val="28"/>
          <w:szCs w:val="28"/>
        </w:rPr>
        <w:t>Both the payer and provider markets in Massachusetts are characterized by relatively few large competitors. This situation is referred to as a bilateral oligopoly – it’s not a monopoly, but it’s also far from perfect competition</w:t>
      </w:r>
      <w:r>
        <w:rPr>
          <w:sz w:val="28"/>
          <w:szCs w:val="28"/>
        </w:rPr>
        <w:t xml:space="preserve">. </w:t>
      </w:r>
    </w:p>
    <w:p w14:paraId="056D4CE1" w14:textId="19E0D3EC" w:rsidR="00F971CD" w:rsidRDefault="00F971CD" w:rsidP="00F971CD">
      <w:pPr>
        <w:rPr>
          <w:sz w:val="28"/>
          <w:szCs w:val="28"/>
        </w:rPr>
      </w:pPr>
      <w:r w:rsidRPr="00F971CD">
        <w:rPr>
          <w:sz w:val="28"/>
          <w:szCs w:val="28"/>
        </w:rPr>
        <w:lastRenderedPageBreak/>
        <w:t>Moreover, neither hospital services nor health plans are homogeneous products. That is, one hospital stay is not like another and one health plan is n</w:t>
      </w:r>
      <w:r>
        <w:rPr>
          <w:sz w:val="28"/>
          <w:szCs w:val="28"/>
        </w:rPr>
        <w:t>ot exactly like another either.</w:t>
      </w:r>
    </w:p>
    <w:p w14:paraId="580D862A" w14:textId="77777777" w:rsidR="00F971CD" w:rsidRPr="00F971CD" w:rsidRDefault="00F971CD" w:rsidP="00F971CD">
      <w:pPr>
        <w:rPr>
          <w:sz w:val="28"/>
          <w:szCs w:val="28"/>
        </w:rPr>
      </w:pPr>
    </w:p>
    <w:p w14:paraId="4D2AFF92" w14:textId="77777777" w:rsidR="00F971CD" w:rsidRPr="00F971CD" w:rsidRDefault="00F971CD" w:rsidP="00F971CD">
      <w:pPr>
        <w:rPr>
          <w:sz w:val="28"/>
          <w:szCs w:val="28"/>
        </w:rPr>
      </w:pPr>
      <w:r w:rsidRPr="00F971CD">
        <w:rPr>
          <w:sz w:val="28"/>
          <w:szCs w:val="28"/>
        </w:rPr>
        <w:t xml:space="preserve">It is the interplay between these two markets that influences prices and contributes to premium levels. </w:t>
      </w:r>
    </w:p>
    <w:p w14:paraId="3431DCDD" w14:textId="77777777" w:rsidR="00F971CD" w:rsidRDefault="00F971CD" w:rsidP="00F971CD">
      <w:pPr>
        <w:rPr>
          <w:sz w:val="28"/>
          <w:szCs w:val="28"/>
        </w:rPr>
      </w:pPr>
    </w:p>
    <w:p w14:paraId="4B6377DB" w14:textId="1B966A62" w:rsidR="002F5E4B" w:rsidRPr="00AE1ABF" w:rsidRDefault="00F971CD" w:rsidP="00F971CD">
      <w:pPr>
        <w:rPr>
          <w:sz w:val="28"/>
          <w:szCs w:val="28"/>
        </w:rPr>
      </w:pPr>
      <w:r w:rsidRPr="00F971CD">
        <w:rPr>
          <w:sz w:val="28"/>
          <w:szCs w:val="28"/>
        </w:rPr>
        <w:t xml:space="preserve">Our </w:t>
      </w:r>
      <w:r w:rsidRPr="00F971CD">
        <w:rPr>
          <w:iCs/>
          <w:sz w:val="28"/>
          <w:szCs w:val="28"/>
        </w:rPr>
        <w:t>Annual Report</w:t>
      </w:r>
      <w:r>
        <w:rPr>
          <w:iCs/>
          <w:sz w:val="28"/>
          <w:szCs w:val="28"/>
        </w:rPr>
        <w:t xml:space="preserve"> </w:t>
      </w:r>
      <w:r w:rsidRPr="00F971CD">
        <w:rPr>
          <w:sz w:val="28"/>
          <w:szCs w:val="28"/>
        </w:rPr>
        <w:t>tries to shed some light on the result of this bargaining in Massachusetts. CHIA will continue to assess the impact of cost containment and quality improvement initiatives on public and commercial market health care trends to increase transparency in the Massachusetts health care payment and delivery system</w:t>
      </w:r>
      <w:r w:rsidR="00176D9E" w:rsidRPr="00AE1ABF">
        <w:rPr>
          <w:sz w:val="28"/>
          <w:szCs w:val="28"/>
        </w:rPr>
        <w:t>.</w:t>
      </w:r>
    </w:p>
    <w:p w14:paraId="0BF5D868" w14:textId="77777777" w:rsidR="00393973" w:rsidRDefault="00393973">
      <w:pPr>
        <w:rPr>
          <w:sz w:val="28"/>
          <w:szCs w:val="28"/>
        </w:rPr>
      </w:pPr>
    </w:p>
    <w:p w14:paraId="64A2118B" w14:textId="77777777" w:rsidR="00261B23" w:rsidRDefault="00261B23">
      <w:pPr>
        <w:rPr>
          <w:sz w:val="28"/>
          <w:szCs w:val="28"/>
        </w:rPr>
      </w:pPr>
    </w:p>
    <w:p w14:paraId="3887F363" w14:textId="291F685C" w:rsidR="00261B23" w:rsidRPr="00AE1ABF" w:rsidRDefault="00261B23">
      <w:pPr>
        <w:rPr>
          <w:sz w:val="28"/>
          <w:szCs w:val="28"/>
        </w:rPr>
      </w:pPr>
      <w:r>
        <w:rPr>
          <w:sz w:val="28"/>
          <w:szCs w:val="28"/>
        </w:rPr>
        <w:t xml:space="preserve">End of </w:t>
      </w:r>
      <w:r w:rsidR="00423BE3">
        <w:rPr>
          <w:sz w:val="28"/>
          <w:szCs w:val="28"/>
        </w:rPr>
        <w:t xml:space="preserve">Text of Narration of </w:t>
      </w:r>
      <w:r>
        <w:rPr>
          <w:sz w:val="28"/>
          <w:szCs w:val="28"/>
        </w:rPr>
        <w:t>Slide Presentation</w:t>
      </w:r>
    </w:p>
    <w:sectPr w:rsidR="00261B23" w:rsidRPr="00AE1ABF" w:rsidSect="002F5E4B">
      <w:footerReference w:type="even" r:id="rId20"/>
      <w:footerReference w:type="default" r:id="rId2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696EFD" w14:textId="77777777" w:rsidR="00261B23" w:rsidRDefault="00261B23" w:rsidP="00380DE6">
      <w:r>
        <w:separator/>
      </w:r>
    </w:p>
  </w:endnote>
  <w:endnote w:type="continuationSeparator" w:id="0">
    <w:p w14:paraId="1A62866B" w14:textId="77777777" w:rsidR="00261B23" w:rsidRDefault="00261B23" w:rsidP="00380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6FC9B" w14:textId="77777777" w:rsidR="00261B23" w:rsidRDefault="00261B23" w:rsidP="00261B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9C82E9" w14:textId="77777777" w:rsidR="00261B23" w:rsidRDefault="00261B23" w:rsidP="00380DE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41ED4" w14:textId="77777777" w:rsidR="00261B23" w:rsidRDefault="00261B23" w:rsidP="00261B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B58E7">
      <w:rPr>
        <w:rStyle w:val="PageNumber"/>
        <w:noProof/>
      </w:rPr>
      <w:t>1</w:t>
    </w:r>
    <w:r>
      <w:rPr>
        <w:rStyle w:val="PageNumber"/>
      </w:rPr>
      <w:fldChar w:fldCharType="end"/>
    </w:r>
  </w:p>
  <w:p w14:paraId="47A7910B" w14:textId="77777777" w:rsidR="00261B23" w:rsidRDefault="00261B23" w:rsidP="00380DE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DF6B7C" w14:textId="77777777" w:rsidR="00261B23" w:rsidRDefault="00261B23" w:rsidP="00380DE6">
      <w:r>
        <w:separator/>
      </w:r>
    </w:p>
  </w:footnote>
  <w:footnote w:type="continuationSeparator" w:id="0">
    <w:p w14:paraId="60B076E5" w14:textId="77777777" w:rsidR="00261B23" w:rsidRDefault="00261B23" w:rsidP="00380D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B73"/>
    <w:rsid w:val="000151E7"/>
    <w:rsid w:val="000F5484"/>
    <w:rsid w:val="001704F7"/>
    <w:rsid w:val="001740C3"/>
    <w:rsid w:val="00176D9E"/>
    <w:rsid w:val="001C20EB"/>
    <w:rsid w:val="002113CC"/>
    <w:rsid w:val="00254C3F"/>
    <w:rsid w:val="00261B23"/>
    <w:rsid w:val="002B246D"/>
    <w:rsid w:val="002F0952"/>
    <w:rsid w:val="002F5E4B"/>
    <w:rsid w:val="00380DE6"/>
    <w:rsid w:val="00393973"/>
    <w:rsid w:val="003D29D2"/>
    <w:rsid w:val="00423BE3"/>
    <w:rsid w:val="00496B4F"/>
    <w:rsid w:val="00581C71"/>
    <w:rsid w:val="00615CDD"/>
    <w:rsid w:val="006B53ED"/>
    <w:rsid w:val="00761877"/>
    <w:rsid w:val="007D2B73"/>
    <w:rsid w:val="007F2906"/>
    <w:rsid w:val="008E508F"/>
    <w:rsid w:val="009550FD"/>
    <w:rsid w:val="009C574D"/>
    <w:rsid w:val="00AE1ABF"/>
    <w:rsid w:val="00B10812"/>
    <w:rsid w:val="00B22AD7"/>
    <w:rsid w:val="00C07BA6"/>
    <w:rsid w:val="00C304D3"/>
    <w:rsid w:val="00C417A2"/>
    <w:rsid w:val="00C80E45"/>
    <w:rsid w:val="00C84D22"/>
    <w:rsid w:val="00CB58E7"/>
    <w:rsid w:val="00CD7252"/>
    <w:rsid w:val="00D61389"/>
    <w:rsid w:val="00DD0664"/>
    <w:rsid w:val="00DE0073"/>
    <w:rsid w:val="00E206C2"/>
    <w:rsid w:val="00E3369A"/>
    <w:rsid w:val="00E77FEF"/>
    <w:rsid w:val="00EB7E4F"/>
    <w:rsid w:val="00F971CD"/>
    <w:rsid w:val="00FD20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337E14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3973"/>
    <w:rPr>
      <w:color w:val="0000FF" w:themeColor="hyperlink"/>
      <w:u w:val="single"/>
    </w:rPr>
  </w:style>
  <w:style w:type="paragraph" w:styleId="BalloonText">
    <w:name w:val="Balloon Text"/>
    <w:basedOn w:val="Normal"/>
    <w:link w:val="BalloonTextChar"/>
    <w:uiPriority w:val="99"/>
    <w:semiHidden/>
    <w:unhideWhenUsed/>
    <w:rsid w:val="009550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50FD"/>
    <w:rPr>
      <w:rFonts w:ascii="Lucida Grande" w:hAnsi="Lucida Grande" w:cs="Lucida Grande"/>
      <w:sz w:val="18"/>
      <w:szCs w:val="18"/>
      <w:lang w:eastAsia="en-US"/>
    </w:rPr>
  </w:style>
  <w:style w:type="paragraph" w:styleId="ListParagraph">
    <w:name w:val="List Paragraph"/>
    <w:basedOn w:val="Normal"/>
    <w:uiPriority w:val="34"/>
    <w:qFormat/>
    <w:rsid w:val="00615CDD"/>
    <w:pPr>
      <w:ind w:left="720"/>
      <w:contextualSpacing/>
    </w:pPr>
  </w:style>
  <w:style w:type="paragraph" w:styleId="Footer">
    <w:name w:val="footer"/>
    <w:basedOn w:val="Normal"/>
    <w:link w:val="FooterChar"/>
    <w:uiPriority w:val="99"/>
    <w:unhideWhenUsed/>
    <w:rsid w:val="00380DE6"/>
    <w:pPr>
      <w:tabs>
        <w:tab w:val="center" w:pos="4320"/>
        <w:tab w:val="right" w:pos="8640"/>
      </w:tabs>
    </w:pPr>
  </w:style>
  <w:style w:type="character" w:customStyle="1" w:styleId="FooterChar">
    <w:name w:val="Footer Char"/>
    <w:basedOn w:val="DefaultParagraphFont"/>
    <w:link w:val="Footer"/>
    <w:uiPriority w:val="99"/>
    <w:rsid w:val="00380DE6"/>
    <w:rPr>
      <w:sz w:val="24"/>
      <w:szCs w:val="24"/>
      <w:lang w:eastAsia="en-US"/>
    </w:rPr>
  </w:style>
  <w:style w:type="character" w:styleId="PageNumber">
    <w:name w:val="page number"/>
    <w:basedOn w:val="DefaultParagraphFont"/>
    <w:uiPriority w:val="99"/>
    <w:semiHidden/>
    <w:unhideWhenUsed/>
    <w:rsid w:val="00380DE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3973"/>
    <w:rPr>
      <w:color w:val="0000FF" w:themeColor="hyperlink"/>
      <w:u w:val="single"/>
    </w:rPr>
  </w:style>
  <w:style w:type="paragraph" w:styleId="BalloonText">
    <w:name w:val="Balloon Text"/>
    <w:basedOn w:val="Normal"/>
    <w:link w:val="BalloonTextChar"/>
    <w:uiPriority w:val="99"/>
    <w:semiHidden/>
    <w:unhideWhenUsed/>
    <w:rsid w:val="009550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50FD"/>
    <w:rPr>
      <w:rFonts w:ascii="Lucida Grande" w:hAnsi="Lucida Grande" w:cs="Lucida Grande"/>
      <w:sz w:val="18"/>
      <w:szCs w:val="18"/>
      <w:lang w:eastAsia="en-US"/>
    </w:rPr>
  </w:style>
  <w:style w:type="paragraph" w:styleId="ListParagraph">
    <w:name w:val="List Paragraph"/>
    <w:basedOn w:val="Normal"/>
    <w:uiPriority w:val="34"/>
    <w:qFormat/>
    <w:rsid w:val="00615CDD"/>
    <w:pPr>
      <w:ind w:left="720"/>
      <w:contextualSpacing/>
    </w:pPr>
  </w:style>
  <w:style w:type="paragraph" w:styleId="Footer">
    <w:name w:val="footer"/>
    <w:basedOn w:val="Normal"/>
    <w:link w:val="FooterChar"/>
    <w:uiPriority w:val="99"/>
    <w:unhideWhenUsed/>
    <w:rsid w:val="00380DE6"/>
    <w:pPr>
      <w:tabs>
        <w:tab w:val="center" w:pos="4320"/>
        <w:tab w:val="right" w:pos="8640"/>
      </w:tabs>
    </w:pPr>
  </w:style>
  <w:style w:type="character" w:customStyle="1" w:styleId="FooterChar">
    <w:name w:val="Footer Char"/>
    <w:basedOn w:val="DefaultParagraphFont"/>
    <w:link w:val="Footer"/>
    <w:uiPriority w:val="99"/>
    <w:rsid w:val="00380DE6"/>
    <w:rPr>
      <w:sz w:val="24"/>
      <w:szCs w:val="24"/>
      <w:lang w:eastAsia="en-US"/>
    </w:rPr>
  </w:style>
  <w:style w:type="character" w:styleId="PageNumber">
    <w:name w:val="page number"/>
    <w:basedOn w:val="DefaultParagraphFont"/>
    <w:uiPriority w:val="99"/>
    <w:semiHidden/>
    <w:unhideWhenUsed/>
    <w:rsid w:val="00380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76164">
      <w:bodyDiv w:val="1"/>
      <w:marLeft w:val="0"/>
      <w:marRight w:val="0"/>
      <w:marTop w:val="0"/>
      <w:marBottom w:val="0"/>
      <w:divBdr>
        <w:top w:val="none" w:sz="0" w:space="0" w:color="auto"/>
        <w:left w:val="none" w:sz="0" w:space="0" w:color="auto"/>
        <w:bottom w:val="none" w:sz="0" w:space="0" w:color="auto"/>
        <w:right w:val="none" w:sz="0" w:space="0" w:color="auto"/>
      </w:divBdr>
    </w:div>
    <w:div w:id="835919212">
      <w:bodyDiv w:val="1"/>
      <w:marLeft w:val="0"/>
      <w:marRight w:val="0"/>
      <w:marTop w:val="0"/>
      <w:marBottom w:val="0"/>
      <w:divBdr>
        <w:top w:val="none" w:sz="0" w:space="0" w:color="auto"/>
        <w:left w:val="none" w:sz="0" w:space="0" w:color="auto"/>
        <w:bottom w:val="none" w:sz="0" w:space="0" w:color="auto"/>
        <w:right w:val="none" w:sz="0" w:space="0" w:color="auto"/>
      </w:divBdr>
    </w:div>
    <w:div w:id="1229076445">
      <w:bodyDiv w:val="1"/>
      <w:marLeft w:val="0"/>
      <w:marRight w:val="0"/>
      <w:marTop w:val="0"/>
      <w:marBottom w:val="0"/>
      <w:divBdr>
        <w:top w:val="none" w:sz="0" w:space="0" w:color="auto"/>
        <w:left w:val="none" w:sz="0" w:space="0" w:color="auto"/>
        <w:bottom w:val="none" w:sz="0" w:space="0" w:color="auto"/>
        <w:right w:val="none" w:sz="0" w:space="0" w:color="auto"/>
      </w:divBdr>
    </w:div>
    <w:div w:id="1431003471">
      <w:bodyDiv w:val="1"/>
      <w:marLeft w:val="0"/>
      <w:marRight w:val="0"/>
      <w:marTop w:val="0"/>
      <w:marBottom w:val="0"/>
      <w:divBdr>
        <w:top w:val="none" w:sz="0" w:space="0" w:color="auto"/>
        <w:left w:val="none" w:sz="0" w:space="0" w:color="auto"/>
        <w:bottom w:val="none" w:sz="0" w:space="0" w:color="auto"/>
        <w:right w:val="none" w:sz="0" w:space="0" w:color="auto"/>
      </w:divBdr>
    </w:div>
    <w:div w:id="14378650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Relationships xmlns="http://schemas.openxmlformats.org/package/2006/relationships">
  <Relationship Id="rId1" Type="http://schemas.openxmlformats.org/officeDocument/2006/relationships/styles" Target="styles.xml"/>
  <Relationship Id="rId10" Type="http://schemas.openxmlformats.org/officeDocument/2006/relationships/image" Target="media/image3.png"/>
  <Relationship Id="rId11" Type="http://schemas.openxmlformats.org/officeDocument/2006/relationships/image" Target="media/image4.png"/>
  <Relationship Id="rId12" Type="http://schemas.openxmlformats.org/officeDocument/2006/relationships/image" Target="media/image5.png"/>
  <Relationship Id="rId13" Type="http://schemas.openxmlformats.org/officeDocument/2006/relationships/image" Target="media/image6.png"/>
  <Relationship Id="rId14" Type="http://schemas.openxmlformats.org/officeDocument/2006/relationships/image" Target="media/image7.png"/>
  <Relationship Id="rId15" Type="http://schemas.openxmlformats.org/officeDocument/2006/relationships/image" Target="media/image8.png"/>
  <Relationship Id="rId16" Type="http://schemas.openxmlformats.org/officeDocument/2006/relationships/image" Target="media/image9.png"/>
  <Relationship Id="rId17" Type="http://schemas.openxmlformats.org/officeDocument/2006/relationships/image" Target="media/image10.png"/>
  <Relationship Id="rId18" Type="http://schemas.openxmlformats.org/officeDocument/2006/relationships/image" Target="media/image11.png"/>
  <Relationship Id="rId19" Type="http://schemas.openxmlformats.org/officeDocument/2006/relationships/image" Target="media/image12.png"/>
  <Relationship Id="rId2" Type="http://schemas.microsoft.com/office/2007/relationships/stylesWithEffects" Target="stylesWithEffects.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fontTable" Target="fontTable.xml"/>
  <Relationship Id="rId23" Type="http://schemas.openxmlformats.org/officeDocument/2006/relationships/theme" Target="theme/theme1.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otnotes" Target="footnotes.xml"/>
  <Relationship Id="rId6" Type="http://schemas.openxmlformats.org/officeDocument/2006/relationships/endnotes" Target="endnotes.xml"/>
  <Relationship Id="rId7" Type="http://schemas.openxmlformats.org/officeDocument/2006/relationships/hyperlink" TargetMode="External" Target="http://www.mass.gov/chia"/>
  <Relationship Id="rId8" Type="http://schemas.openxmlformats.org/officeDocument/2006/relationships/image" Target="media/image1.png"/>
  <Relationship Id="rId9"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14</Pages>
  <Words>1757</Words>
  <Characters>9613</Characters>
  <Application>Microsoft Macintosh Word</Application>
  <DocSecurity>0</DocSecurity>
  <Lines>310</Lines>
  <Paragraphs>106</Paragraphs>
  <ScaleCrop>false</ScaleCrop>
  <HeadingPairs>
    <vt:vector size="2" baseType="variant">
      <vt:variant>
        <vt:lpstr>Title</vt:lpstr>
      </vt:variant>
      <vt:variant>
        <vt:i4>1</vt:i4>
      </vt:variant>
    </vt:vector>
  </HeadingPairs>
  <TitlesOfParts>
    <vt:vector size="1" baseType="lpstr">
      <vt:lpstr>Presentation on the Report Entitled Annual Report on the Massachusetts Health Care Market</vt:lpstr>
    </vt:vector>
  </TitlesOfParts>
  <Manager/>
  <Company>Center for Health Information and Analysis</Company>
  <LinksUpToDate>false</LinksUpToDate>
  <CharactersWithSpaces>11264</CharactersWithSpaces>
  <SharedDoc>false</SharedDoc>
  <HyperlinkBase/>
  <HyperlinksChanged>false</HyperlinksChanged>
  <AppVersion>14.0000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2013-08-19T19:32:00Z</dcterms:created>
  <dc:creator>Division of Health Care Finance and Policy (CHIA)</dc:creator>
  <dc:description>The slides conveyed in the corresponding PowerPoint presentation were presented by Áron Boros, Executive Director, Center for Health Information and Analysis on Wednesday, August 14, 2013.</dc:description>
  <lastModifiedBy>Division of Health Care Finance and Policy</lastModifiedBy>
  <lastPrinted>2013-08-19T21:51:00Z</lastPrinted>
  <dcterms:modified xsi:type="dcterms:W3CDTF">2013-08-19T21:51:00Z</dcterms:modified>
  <revision>37</revision>
  <dc:subject>Text of narration (voice-over) of corresponding PowerPoint presentation</dc:subject>
  <dc:title>Presentation on the Report Entitled Annual Report on the Massachusetts Health Care Market</dc:title>
</coreProperties>
</file>