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D96419" w14:textId="77777777" w:rsidR="001B3EF3" w:rsidRDefault="001B3EF3" w:rsidP="00F96069">
      <w:pPr>
        <w:pStyle w:val="Heading2"/>
        <w:spacing w:after="200"/>
      </w:pPr>
      <w:bookmarkStart w:id="0" w:name="_Toc416877832"/>
    </w:p>
    <w:p w14:paraId="6D11501F" w14:textId="279C7FC6" w:rsidR="001B3EF3" w:rsidRDefault="001B3EF3" w:rsidP="001B3EF3">
      <w:pPr>
        <w:spacing w:after="0" w:line="240" w:lineRule="auto"/>
        <w:rPr>
          <w:rFonts w:ascii="Garamond" w:hAnsi="Garamond"/>
          <w:b/>
          <w:u w:val="single"/>
        </w:rPr>
      </w:pPr>
      <w:r>
        <w:rPr>
          <w:rFonts w:ascii="Garamond" w:hAnsi="Garamond"/>
          <w:b/>
          <w:u w:val="single"/>
        </w:rPr>
        <w:t>Table of Contents</w:t>
      </w:r>
    </w:p>
    <w:p w14:paraId="39DEA64C" w14:textId="570DCB5A" w:rsidR="001B3EF3" w:rsidRPr="001B3EF3" w:rsidRDefault="001B3EF3" w:rsidP="001B3EF3">
      <w:pPr>
        <w:pStyle w:val="ListParagraph"/>
        <w:numPr>
          <w:ilvl w:val="0"/>
          <w:numId w:val="5"/>
        </w:numPr>
        <w:spacing w:after="0" w:line="240" w:lineRule="auto"/>
      </w:pPr>
      <w:r w:rsidRPr="001B3EF3">
        <w:t xml:space="preserve">Hospital </w:t>
      </w:r>
      <w:bookmarkStart w:id="1" w:name="_GoBack"/>
      <w:r w:rsidRPr="001B3EF3">
        <w:t>Process Measures</w:t>
      </w:r>
    </w:p>
    <w:p w14:paraId="6E3E8E13" w14:textId="77777777" w:rsidR="001B3EF3" w:rsidRPr="001B3EF3" w:rsidRDefault="001B3EF3" w:rsidP="001B3EF3">
      <w:pPr>
        <w:pStyle w:val="ListParagraph"/>
        <w:numPr>
          <w:ilvl w:val="0"/>
          <w:numId w:val="5"/>
        </w:numPr>
        <w:spacing w:after="0" w:line="240" w:lineRule="auto"/>
      </w:pPr>
      <w:r>
        <w:t xml:space="preserve">Health Care-Associated Infections </w:t>
      </w:r>
      <w:bookmarkEnd w:id="1"/>
      <w:r>
        <w:t>(HAI)</w:t>
      </w:r>
    </w:p>
    <w:p w14:paraId="61A2BA22" w14:textId="77777777" w:rsidR="001B3EF3" w:rsidRPr="001B3EF3" w:rsidRDefault="001B3EF3" w:rsidP="001B3EF3">
      <w:pPr>
        <w:pStyle w:val="ListParagraph"/>
        <w:numPr>
          <w:ilvl w:val="0"/>
          <w:numId w:val="5"/>
        </w:numPr>
        <w:spacing w:after="0" w:line="240" w:lineRule="auto"/>
      </w:pPr>
      <w:r>
        <w:t>Metric</w:t>
      </w:r>
      <w:r w:rsidRPr="0000047F">
        <w:t xml:space="preserve">: Hospital-wide </w:t>
      </w:r>
      <w:r>
        <w:t xml:space="preserve">Adult </w:t>
      </w:r>
      <w:r w:rsidRPr="0000047F">
        <w:t>All-</w:t>
      </w:r>
      <w:r>
        <w:t>Payer</w:t>
      </w:r>
      <w:r w:rsidRPr="0000047F">
        <w:t xml:space="preserve"> Readmissions Measure</w:t>
      </w:r>
    </w:p>
    <w:p w14:paraId="24C9D6E4" w14:textId="3ACB9E57" w:rsidR="001B3EF3" w:rsidRPr="001B3EF3" w:rsidRDefault="001B3EF3" w:rsidP="001B3EF3">
      <w:pPr>
        <w:pStyle w:val="ListParagraph"/>
        <w:numPr>
          <w:ilvl w:val="0"/>
          <w:numId w:val="5"/>
        </w:numPr>
        <w:spacing w:after="0" w:line="240" w:lineRule="auto"/>
      </w:pPr>
      <w:r w:rsidRPr="001B3EF3">
        <w:t>Serious Complications (Patient Safety Indicator composite, PSI 90)</w:t>
      </w:r>
    </w:p>
    <w:p w14:paraId="30865057" w14:textId="42908D7B" w:rsidR="001B3EF3" w:rsidRPr="001B3EF3" w:rsidRDefault="001B3EF3" w:rsidP="001B3EF3">
      <w:pPr>
        <w:pStyle w:val="ListParagraph"/>
        <w:numPr>
          <w:ilvl w:val="0"/>
          <w:numId w:val="5"/>
        </w:numPr>
        <w:spacing w:after="0" w:line="240" w:lineRule="auto"/>
      </w:pPr>
      <w:r>
        <w:t xml:space="preserve">The </w:t>
      </w:r>
      <w:r w:rsidRPr="0000047F">
        <w:t xml:space="preserve">Leapfrog </w:t>
      </w:r>
      <w:r>
        <w:t xml:space="preserve">Group </w:t>
      </w:r>
      <w:r w:rsidRPr="0000047F">
        <w:t>Measures</w:t>
      </w:r>
    </w:p>
    <w:p w14:paraId="404BE297" w14:textId="3A4086AF" w:rsidR="001B3EF3" w:rsidRPr="001B3EF3" w:rsidRDefault="001B3EF3" w:rsidP="001B3EF3">
      <w:pPr>
        <w:pStyle w:val="ListParagraph"/>
        <w:numPr>
          <w:ilvl w:val="0"/>
          <w:numId w:val="5"/>
        </w:numPr>
        <w:spacing w:after="0" w:line="240" w:lineRule="auto"/>
      </w:pPr>
      <w:r w:rsidRPr="0000047F">
        <w:t>Hospital Consumer Assessment of Healthcare Providers and Systems (HCAHPS)</w:t>
      </w:r>
    </w:p>
    <w:p w14:paraId="587BBA85" w14:textId="72A40003" w:rsidR="001B3EF3" w:rsidRPr="001B3EF3" w:rsidRDefault="001B3EF3" w:rsidP="001B3EF3">
      <w:pPr>
        <w:pStyle w:val="ListParagraph"/>
        <w:numPr>
          <w:ilvl w:val="0"/>
          <w:numId w:val="5"/>
        </w:numPr>
        <w:spacing w:after="0" w:line="240" w:lineRule="auto"/>
      </w:pPr>
      <w:r w:rsidRPr="0000047F">
        <w:t>Consumer Assessment of Healthcare Providers and Systems Clinician and Group Patient Centered Medical Home Survey (CAHPS)</w:t>
      </w:r>
    </w:p>
    <w:p w14:paraId="18A1764B" w14:textId="54D492E4" w:rsidR="001B3EF3" w:rsidRPr="001B3EF3" w:rsidRDefault="001B3EF3" w:rsidP="001B3EF3">
      <w:pPr>
        <w:pStyle w:val="ListParagraph"/>
        <w:numPr>
          <w:ilvl w:val="0"/>
          <w:numId w:val="5"/>
        </w:numPr>
        <w:spacing w:after="0" w:line="240" w:lineRule="auto"/>
      </w:pPr>
      <w:r>
        <w:t xml:space="preserve">Prevention Quality Indicators </w:t>
      </w:r>
    </w:p>
    <w:p w14:paraId="220EB71A" w14:textId="63E1D491" w:rsidR="00F96069" w:rsidRPr="00F96069" w:rsidRDefault="005D16EC" w:rsidP="00F96069">
      <w:pPr>
        <w:pStyle w:val="Heading2"/>
        <w:spacing w:after="200"/>
      </w:pPr>
      <w:r w:rsidRPr="00B73727">
        <w:t>Metrics</w:t>
      </w:r>
      <w:r w:rsidR="00F96069">
        <w:t>: Hospital Process Measures</w:t>
      </w:r>
      <w:bookmarkEnd w:id="0"/>
    </w:p>
    <w:p w14:paraId="29931ECA" w14:textId="0C87D066" w:rsidR="00043D56" w:rsidRPr="00093D60" w:rsidRDefault="00043D56" w:rsidP="003429D4">
      <w:pPr>
        <w:tabs>
          <w:tab w:val="left" w:pos="7011"/>
        </w:tabs>
      </w:pPr>
      <w:r w:rsidRPr="00093D60">
        <w:rPr>
          <w:b/>
        </w:rPr>
        <w:t>Measure Steward:</w:t>
      </w:r>
      <w:r w:rsidRPr="00093D60">
        <w:t xml:space="preserve">  Centers for Medicare &amp; Medicaid Services </w:t>
      </w:r>
      <w:r w:rsidR="003429D4">
        <w:tab/>
      </w:r>
    </w:p>
    <w:p w14:paraId="0C10E3A8" w14:textId="77777777" w:rsidR="00AD3567" w:rsidRDefault="00AD3567" w:rsidP="00793375">
      <w:r w:rsidRPr="00093D60">
        <w:rPr>
          <w:b/>
        </w:rPr>
        <w:t xml:space="preserve">CHIA Data Source: </w:t>
      </w:r>
      <w:r w:rsidRPr="00093D60">
        <w:t>CMS Hospital Compare</w:t>
      </w:r>
    </w:p>
    <w:p w14:paraId="7EFA6750" w14:textId="77777777" w:rsidR="00490693" w:rsidRPr="00043D56" w:rsidRDefault="00490693" w:rsidP="00793375">
      <w:r w:rsidRPr="00793375">
        <w:rPr>
          <w:b/>
        </w:rPr>
        <w:t>Populations:</w:t>
      </w:r>
      <w:r>
        <w:t xml:space="preserve"> </w:t>
      </w:r>
      <w:r w:rsidR="00FE5723">
        <w:t>All Payers</w:t>
      </w:r>
      <w:r w:rsidR="00AA1C16">
        <w:t>, Ages 18+</w:t>
      </w:r>
    </w:p>
    <w:tbl>
      <w:tblPr>
        <w:tblW w:w="5000" w:type="pct"/>
        <w:tblLook w:val="04A0" w:firstRow="1" w:lastRow="0" w:firstColumn="1" w:lastColumn="0" w:noHBand="0" w:noVBand="1"/>
      </w:tblPr>
      <w:tblGrid>
        <w:gridCol w:w="1217"/>
        <w:gridCol w:w="1582"/>
        <w:gridCol w:w="2334"/>
        <w:gridCol w:w="1059"/>
        <w:gridCol w:w="1521"/>
        <w:gridCol w:w="1863"/>
      </w:tblGrid>
      <w:tr w:rsidR="005D16EC" w:rsidRPr="001461F7" w14:paraId="3ECC42D4" w14:textId="77777777" w:rsidTr="006329F9">
        <w:trPr>
          <w:trHeight w:val="764"/>
          <w:tblHeader/>
        </w:trPr>
        <w:tc>
          <w:tcPr>
            <w:tcW w:w="635"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675A6C9C"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826" w:type="pct"/>
            <w:tcBorders>
              <w:top w:val="single" w:sz="4" w:space="0" w:color="auto"/>
              <w:left w:val="nil"/>
              <w:bottom w:val="single" w:sz="4" w:space="0" w:color="auto"/>
              <w:right w:val="single" w:sz="4" w:space="0" w:color="auto"/>
            </w:tcBorders>
            <w:shd w:val="clear" w:color="000000" w:fill="538DD5"/>
            <w:vAlign w:val="center"/>
            <w:hideMark/>
          </w:tcPr>
          <w:p w14:paraId="130582F4"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219" w:type="pct"/>
            <w:tcBorders>
              <w:top w:val="single" w:sz="4" w:space="0" w:color="auto"/>
              <w:left w:val="nil"/>
              <w:bottom w:val="single" w:sz="4" w:space="0" w:color="auto"/>
              <w:right w:val="single" w:sz="4" w:space="0" w:color="auto"/>
            </w:tcBorders>
            <w:shd w:val="clear" w:color="000000" w:fill="538DD5"/>
            <w:vAlign w:val="center"/>
            <w:hideMark/>
          </w:tcPr>
          <w:p w14:paraId="557D7BCB"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553" w:type="pct"/>
            <w:tcBorders>
              <w:top w:val="single" w:sz="4" w:space="0" w:color="auto"/>
              <w:left w:val="nil"/>
              <w:bottom w:val="single" w:sz="4" w:space="0" w:color="auto"/>
              <w:right w:val="single" w:sz="4" w:space="0" w:color="auto"/>
            </w:tcBorders>
            <w:shd w:val="clear" w:color="000000" w:fill="538DD5"/>
            <w:vAlign w:val="center"/>
            <w:hideMark/>
          </w:tcPr>
          <w:p w14:paraId="4A02FA94" w14:textId="77777777" w:rsidR="005D16EC" w:rsidRPr="00093D60" w:rsidRDefault="00AD3567" w:rsidP="00515CDF">
            <w:pPr>
              <w:spacing w:after="0" w:line="240" w:lineRule="auto"/>
              <w:jc w:val="center"/>
              <w:rPr>
                <w:rFonts w:asciiTheme="minorHAnsi" w:eastAsia="Times New Roman" w:hAnsiTheme="minorHAnsi" w:cs="Calibri"/>
                <w:b/>
                <w:bCs/>
                <w:color w:val="FFFFFF" w:themeColor="background1"/>
                <w:sz w:val="18"/>
                <w:szCs w:val="18"/>
              </w:rPr>
            </w:pPr>
            <w:r w:rsidRPr="00093D60">
              <w:rPr>
                <w:rFonts w:asciiTheme="minorHAnsi" w:eastAsia="Times New Roman" w:hAnsiTheme="minorHAnsi" w:cs="Calibri"/>
                <w:b/>
                <w:bCs/>
                <w:color w:val="FFFFFF" w:themeColor="background1"/>
                <w:sz w:val="18"/>
                <w:szCs w:val="18"/>
              </w:rPr>
              <w:t>Primary Data Source</w:t>
            </w:r>
          </w:p>
        </w:tc>
        <w:tc>
          <w:tcPr>
            <w:tcW w:w="794" w:type="pct"/>
            <w:tcBorders>
              <w:top w:val="single" w:sz="4" w:space="0" w:color="auto"/>
              <w:left w:val="nil"/>
              <w:bottom w:val="single" w:sz="4" w:space="0" w:color="auto"/>
              <w:right w:val="single" w:sz="4" w:space="0" w:color="auto"/>
            </w:tcBorders>
            <w:shd w:val="clear" w:color="000000" w:fill="538DD5"/>
            <w:vAlign w:val="center"/>
            <w:hideMark/>
          </w:tcPr>
          <w:p w14:paraId="6F53E5D1"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973" w:type="pct"/>
            <w:tcBorders>
              <w:top w:val="single" w:sz="4" w:space="0" w:color="auto"/>
              <w:left w:val="nil"/>
              <w:bottom w:val="single" w:sz="4" w:space="0" w:color="auto"/>
              <w:right w:val="single" w:sz="4" w:space="0" w:color="auto"/>
            </w:tcBorders>
            <w:shd w:val="clear" w:color="000000" w:fill="538DD5"/>
            <w:vAlign w:val="center"/>
            <w:hideMark/>
          </w:tcPr>
          <w:p w14:paraId="00A46BE8"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FB205A" w:rsidRPr="001461F7" w14:paraId="2EACDC61" w14:textId="77777777" w:rsidTr="006329F9">
        <w:trPr>
          <w:trHeight w:val="1916"/>
        </w:trPr>
        <w:tc>
          <w:tcPr>
            <w:tcW w:w="635" w:type="pct"/>
            <w:tcBorders>
              <w:top w:val="nil"/>
              <w:left w:val="single" w:sz="4" w:space="0" w:color="auto"/>
              <w:bottom w:val="single" w:sz="4" w:space="0" w:color="auto"/>
              <w:right w:val="single" w:sz="4" w:space="0" w:color="auto"/>
            </w:tcBorders>
            <w:shd w:val="clear" w:color="auto" w:fill="auto"/>
          </w:tcPr>
          <w:p w14:paraId="6F5AB77F" w14:textId="4A2E3A30"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826" w:type="pct"/>
            <w:tcBorders>
              <w:top w:val="nil"/>
              <w:left w:val="nil"/>
              <w:bottom w:val="single" w:sz="4" w:space="0" w:color="auto"/>
              <w:right w:val="single" w:sz="4" w:space="0" w:color="auto"/>
            </w:tcBorders>
            <w:shd w:val="clear" w:color="auto" w:fill="auto"/>
          </w:tcPr>
          <w:p w14:paraId="063E8345" w14:textId="1EA0F520" w:rsidR="00FB205A" w:rsidRDefault="00FB205A" w:rsidP="00FB205A">
            <w:pPr>
              <w:spacing w:after="0" w:line="240" w:lineRule="auto"/>
              <w:rPr>
                <w:rFonts w:asciiTheme="minorHAnsi" w:eastAsia="Times New Roman" w:hAnsiTheme="minorHAnsi" w:cs="Calibri"/>
                <w:sz w:val="18"/>
                <w:szCs w:val="18"/>
              </w:rPr>
            </w:pPr>
            <w:r w:rsidRPr="00FB205A">
              <w:rPr>
                <w:rFonts w:asciiTheme="minorHAnsi" w:eastAsia="Times New Roman" w:hAnsiTheme="minorHAnsi" w:cs="Calibri"/>
                <w:sz w:val="18"/>
                <w:szCs w:val="18"/>
              </w:rPr>
              <w:t xml:space="preserve">Aspirin prescribed at discharge for AMI (AMI </w:t>
            </w:r>
            <w:r>
              <w:rPr>
                <w:rFonts w:asciiTheme="minorHAnsi" w:eastAsia="Times New Roman" w:hAnsiTheme="minorHAnsi" w:cs="Calibri"/>
                <w:sz w:val="18"/>
                <w:szCs w:val="18"/>
              </w:rPr>
              <w:t>2</w:t>
            </w:r>
            <w:r w:rsidRPr="00FB205A">
              <w:rPr>
                <w:rFonts w:asciiTheme="minorHAnsi" w:eastAsia="Times New Roman" w:hAnsiTheme="minorHAnsi" w:cs="Calibri"/>
                <w:sz w:val="18"/>
                <w:szCs w:val="18"/>
              </w:rPr>
              <w:t>)</w:t>
            </w:r>
          </w:p>
        </w:tc>
        <w:tc>
          <w:tcPr>
            <w:tcW w:w="1219" w:type="pct"/>
            <w:tcBorders>
              <w:top w:val="nil"/>
              <w:left w:val="nil"/>
              <w:bottom w:val="single" w:sz="4" w:space="0" w:color="auto"/>
              <w:right w:val="single" w:sz="4" w:space="0" w:color="auto"/>
            </w:tcBorders>
            <w:shd w:val="clear" w:color="auto" w:fill="auto"/>
          </w:tcPr>
          <w:p w14:paraId="273E928F" w14:textId="407AD9C7" w:rsidR="00FB205A" w:rsidRPr="001461F7" w:rsidRDefault="00FB205A" w:rsidP="00515CDF">
            <w:pPr>
              <w:spacing w:after="0" w:line="240" w:lineRule="auto"/>
              <w:rPr>
                <w:rFonts w:asciiTheme="minorHAnsi" w:eastAsia="Times New Roman" w:hAnsiTheme="minorHAnsi" w:cs="Calibri"/>
                <w:sz w:val="18"/>
                <w:szCs w:val="18"/>
              </w:rPr>
            </w:pPr>
            <w:r w:rsidRPr="00FB205A">
              <w:rPr>
                <w:rFonts w:asciiTheme="minorHAnsi" w:eastAsia="Times New Roman" w:hAnsiTheme="minorHAnsi" w:cs="Calibri"/>
                <w:sz w:val="18"/>
                <w:szCs w:val="18"/>
              </w:rPr>
              <w:t>Percentage of acute myocardial infarction (AMI) patients who are prescribed aspirin at hospital discharge</w:t>
            </w:r>
            <w:r>
              <w:rPr>
                <w:rFonts w:asciiTheme="minorHAnsi" w:eastAsia="Times New Roman" w:hAnsiTheme="minorHAnsi" w:cs="Calibri"/>
                <w:sz w:val="18"/>
                <w:szCs w:val="18"/>
              </w:rPr>
              <w:t>.</w:t>
            </w:r>
          </w:p>
        </w:tc>
        <w:tc>
          <w:tcPr>
            <w:tcW w:w="553" w:type="pct"/>
            <w:tcBorders>
              <w:top w:val="nil"/>
              <w:left w:val="nil"/>
              <w:bottom w:val="single" w:sz="4" w:space="0" w:color="auto"/>
              <w:right w:val="single" w:sz="4" w:space="0" w:color="auto"/>
            </w:tcBorders>
            <w:shd w:val="clear" w:color="auto" w:fill="auto"/>
          </w:tcPr>
          <w:p w14:paraId="26893D09" w14:textId="308C6A95"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tcPr>
          <w:p w14:paraId="79F747E0" w14:textId="086D993D" w:rsidR="00FB205A" w:rsidRPr="001461F7" w:rsidRDefault="00FB205A"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4/1/</w:t>
            </w:r>
            <w:r w:rsidR="00C20328">
              <w:rPr>
                <w:rFonts w:asciiTheme="minorHAnsi" w:eastAsia="Times New Roman" w:hAnsiTheme="minorHAnsi" w:cs="Calibri"/>
                <w:sz w:val="18"/>
                <w:szCs w:val="18"/>
              </w:rPr>
              <w:t>20</w:t>
            </w:r>
            <w:r>
              <w:rPr>
                <w:rFonts w:asciiTheme="minorHAnsi" w:eastAsia="Times New Roman" w:hAnsiTheme="minorHAnsi" w:cs="Calibri"/>
                <w:sz w:val="18"/>
                <w:szCs w:val="18"/>
              </w:rPr>
              <w:t>11</w:t>
            </w:r>
          </w:p>
        </w:tc>
        <w:tc>
          <w:tcPr>
            <w:tcW w:w="973" w:type="pct"/>
            <w:tcBorders>
              <w:top w:val="nil"/>
              <w:left w:val="nil"/>
              <w:bottom w:val="single" w:sz="4" w:space="0" w:color="auto"/>
              <w:right w:val="single" w:sz="4" w:space="0" w:color="auto"/>
            </w:tcBorders>
            <w:shd w:val="clear" w:color="auto" w:fill="auto"/>
            <w:noWrap/>
          </w:tcPr>
          <w:p w14:paraId="1E8D52C4" w14:textId="0AB61679" w:rsidR="00FB205A" w:rsidRPr="001461F7" w:rsidRDefault="00FB205A"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3/31/2014</w:t>
            </w:r>
          </w:p>
        </w:tc>
      </w:tr>
      <w:tr w:rsidR="00FB205A" w:rsidRPr="001461F7" w14:paraId="5481A436" w14:textId="77777777" w:rsidTr="006329F9">
        <w:trPr>
          <w:trHeight w:val="1916"/>
        </w:trPr>
        <w:tc>
          <w:tcPr>
            <w:tcW w:w="635" w:type="pct"/>
            <w:tcBorders>
              <w:top w:val="nil"/>
              <w:left w:val="single" w:sz="4" w:space="0" w:color="auto"/>
              <w:bottom w:val="single" w:sz="4" w:space="0" w:color="auto"/>
              <w:right w:val="single" w:sz="4" w:space="0" w:color="auto"/>
            </w:tcBorders>
            <w:shd w:val="clear" w:color="auto" w:fill="auto"/>
          </w:tcPr>
          <w:p w14:paraId="151D1525" w14:textId="32D1DD1A"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826" w:type="pct"/>
            <w:tcBorders>
              <w:top w:val="nil"/>
              <w:left w:val="nil"/>
              <w:bottom w:val="single" w:sz="4" w:space="0" w:color="auto"/>
              <w:right w:val="single" w:sz="4" w:space="0" w:color="auto"/>
            </w:tcBorders>
            <w:shd w:val="clear" w:color="auto" w:fill="auto"/>
          </w:tcPr>
          <w:p w14:paraId="17C0DCFF" w14:textId="7A54D301" w:rsidR="00FB205A" w:rsidRDefault="00FB205A" w:rsidP="004F5742">
            <w:pPr>
              <w:spacing w:after="0" w:line="240" w:lineRule="auto"/>
              <w:rPr>
                <w:rFonts w:asciiTheme="minorHAnsi" w:eastAsia="Times New Roman" w:hAnsiTheme="minorHAnsi" w:cs="Calibri"/>
                <w:sz w:val="18"/>
                <w:szCs w:val="18"/>
              </w:rPr>
            </w:pPr>
            <w:r w:rsidRPr="00FB205A">
              <w:rPr>
                <w:rFonts w:asciiTheme="minorHAnsi" w:eastAsia="Times New Roman" w:hAnsiTheme="minorHAnsi" w:cs="Calibri"/>
                <w:sz w:val="18"/>
                <w:szCs w:val="18"/>
              </w:rPr>
              <w:t>Fibrinolytic therapy received within 30 minutes of hospital arrival</w:t>
            </w:r>
            <w:r>
              <w:rPr>
                <w:rFonts w:asciiTheme="minorHAnsi" w:eastAsia="Times New Roman" w:hAnsiTheme="minorHAnsi" w:cs="Calibri"/>
                <w:sz w:val="18"/>
                <w:szCs w:val="18"/>
              </w:rPr>
              <w:t xml:space="preserve"> (AMI 7a)</w:t>
            </w:r>
          </w:p>
        </w:tc>
        <w:tc>
          <w:tcPr>
            <w:tcW w:w="1219" w:type="pct"/>
            <w:tcBorders>
              <w:top w:val="nil"/>
              <w:left w:val="nil"/>
              <w:bottom w:val="single" w:sz="4" w:space="0" w:color="auto"/>
              <w:right w:val="single" w:sz="4" w:space="0" w:color="auto"/>
            </w:tcBorders>
            <w:shd w:val="clear" w:color="auto" w:fill="auto"/>
          </w:tcPr>
          <w:p w14:paraId="5CEAF116" w14:textId="4CC562A2" w:rsidR="00FB205A" w:rsidRPr="001461F7" w:rsidRDefault="00FB205A" w:rsidP="00515CDF">
            <w:pPr>
              <w:spacing w:after="0" w:line="240" w:lineRule="auto"/>
              <w:rPr>
                <w:rFonts w:asciiTheme="minorHAnsi" w:eastAsia="Times New Roman" w:hAnsiTheme="minorHAnsi" w:cs="Calibri"/>
                <w:sz w:val="18"/>
                <w:szCs w:val="18"/>
              </w:rPr>
            </w:pPr>
            <w:r w:rsidRPr="00FB205A">
              <w:rPr>
                <w:rFonts w:asciiTheme="minorHAnsi" w:eastAsia="Times New Roman" w:hAnsiTheme="minorHAnsi" w:cs="Calibri"/>
                <w:sz w:val="18"/>
                <w:szCs w:val="18"/>
              </w:rPr>
              <w:t>Percentage of acute myocardial infarction (AMI) patients with ST-segment elevation or LBBB on the ECG closest to arrival time receiving fibrinolytic therapy during the hospital stay and having a time from hospital arrival to fibrinolysis of 30 minutes or less.</w:t>
            </w:r>
          </w:p>
        </w:tc>
        <w:tc>
          <w:tcPr>
            <w:tcW w:w="553" w:type="pct"/>
            <w:tcBorders>
              <w:top w:val="nil"/>
              <w:left w:val="nil"/>
              <w:bottom w:val="single" w:sz="4" w:space="0" w:color="auto"/>
              <w:right w:val="single" w:sz="4" w:space="0" w:color="auto"/>
            </w:tcBorders>
            <w:shd w:val="clear" w:color="auto" w:fill="auto"/>
          </w:tcPr>
          <w:p w14:paraId="3C2FB9A6" w14:textId="178656F7" w:rsidR="00FB205A" w:rsidRPr="001461F7" w:rsidRDefault="00FB205A"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tcPr>
          <w:p w14:paraId="0DF1FB49" w14:textId="3E680C87" w:rsidR="00FB205A" w:rsidRPr="00FB205A" w:rsidRDefault="00FB205A" w:rsidP="00515CDF">
            <w:pPr>
              <w:spacing w:after="0" w:line="240" w:lineRule="auto"/>
              <w:jc w:val="center"/>
              <w:rPr>
                <w:rFonts w:asciiTheme="minorHAnsi" w:eastAsia="Times New Roman" w:hAnsiTheme="minorHAnsi" w:cs="Calibri"/>
                <w:b/>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tcPr>
          <w:p w14:paraId="1741DB2A" w14:textId="38B5789A" w:rsidR="00FB205A" w:rsidRPr="001461F7" w:rsidRDefault="00FB205A" w:rsidP="00FB205A">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w:t>
            </w:r>
            <w:r>
              <w:rPr>
                <w:rFonts w:asciiTheme="minorHAnsi" w:eastAsia="Times New Roman" w:hAnsiTheme="minorHAnsi" w:cs="Calibri"/>
                <w:sz w:val="18"/>
                <w:szCs w:val="18"/>
              </w:rPr>
              <w:t>4</w:t>
            </w:r>
          </w:p>
        </w:tc>
      </w:tr>
      <w:tr w:rsidR="00FB205A" w:rsidRPr="001461F7" w14:paraId="4CACDC8A" w14:textId="77777777" w:rsidTr="006329F9">
        <w:trPr>
          <w:trHeight w:val="1916"/>
        </w:trPr>
        <w:tc>
          <w:tcPr>
            <w:tcW w:w="635" w:type="pct"/>
            <w:tcBorders>
              <w:top w:val="nil"/>
              <w:left w:val="single" w:sz="4" w:space="0" w:color="auto"/>
              <w:bottom w:val="single" w:sz="4" w:space="0" w:color="auto"/>
              <w:right w:val="single" w:sz="4" w:space="0" w:color="auto"/>
            </w:tcBorders>
            <w:shd w:val="clear" w:color="auto" w:fill="auto"/>
            <w:hideMark/>
          </w:tcPr>
          <w:p w14:paraId="5F1656B8" w14:textId="77777777"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826" w:type="pct"/>
            <w:tcBorders>
              <w:top w:val="nil"/>
              <w:left w:val="nil"/>
              <w:bottom w:val="single" w:sz="4" w:space="0" w:color="auto"/>
              <w:right w:val="single" w:sz="4" w:space="0" w:color="auto"/>
            </w:tcBorders>
            <w:shd w:val="clear" w:color="auto" w:fill="auto"/>
            <w:hideMark/>
          </w:tcPr>
          <w:p w14:paraId="7709BE76" w14:textId="77777777" w:rsidR="00FB205A" w:rsidRPr="001461F7" w:rsidRDefault="00FB205A" w:rsidP="004F5742">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Primary percutaneous coronary intervention (PCI) received within</w:t>
            </w:r>
            <w:r w:rsidRPr="001461F7">
              <w:rPr>
                <w:rFonts w:asciiTheme="minorHAnsi" w:eastAsia="Times New Roman" w:hAnsiTheme="minorHAnsi" w:cs="Calibri"/>
                <w:sz w:val="18"/>
                <w:szCs w:val="18"/>
              </w:rPr>
              <w:t xml:space="preserve"> 90 minutes of </w:t>
            </w:r>
            <w:r>
              <w:rPr>
                <w:rFonts w:asciiTheme="minorHAnsi" w:eastAsia="Times New Roman" w:hAnsiTheme="minorHAnsi" w:cs="Calibri"/>
                <w:sz w:val="18"/>
                <w:szCs w:val="18"/>
              </w:rPr>
              <w:t xml:space="preserve">hospital </w:t>
            </w:r>
            <w:r w:rsidRPr="001461F7">
              <w:rPr>
                <w:rFonts w:asciiTheme="minorHAnsi" w:eastAsia="Times New Roman" w:hAnsiTheme="minorHAnsi" w:cs="Calibri"/>
                <w:sz w:val="18"/>
                <w:szCs w:val="18"/>
              </w:rPr>
              <w:t>arrival</w:t>
            </w:r>
            <w:r>
              <w:rPr>
                <w:rFonts w:asciiTheme="minorHAnsi" w:eastAsia="Times New Roman" w:hAnsiTheme="minorHAnsi" w:cs="Calibri"/>
                <w:sz w:val="18"/>
                <w:szCs w:val="18"/>
              </w:rPr>
              <w:t xml:space="preserve"> (</w:t>
            </w:r>
            <w:r w:rsidRPr="00B76036">
              <w:rPr>
                <w:rFonts w:asciiTheme="minorHAnsi" w:eastAsia="Times New Roman" w:hAnsiTheme="minorHAnsi" w:cs="Calibri"/>
                <w:sz w:val="18"/>
                <w:szCs w:val="18"/>
              </w:rPr>
              <w:t>AMI 8a</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4BDCAB1B" w14:textId="77777777"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Percentage of acute myocardial infarction (AMI) patients with ST-segment elevation or LBBB on the ECG closest to arrival time receiving primary percutaneous coronary intervention (PCI) during the hospital stay with a time from hospital arrival to PCI </w:t>
            </w:r>
            <w:r w:rsidRPr="001461F7">
              <w:rPr>
                <w:rFonts w:asciiTheme="minorHAnsi" w:eastAsia="Times New Roman" w:hAnsiTheme="minorHAnsi" w:cs="Calibri"/>
                <w:sz w:val="18"/>
                <w:szCs w:val="18"/>
              </w:rPr>
              <w:lastRenderedPageBreak/>
              <w:t>of 90 minutes or less.</w:t>
            </w:r>
          </w:p>
        </w:tc>
        <w:tc>
          <w:tcPr>
            <w:tcW w:w="553" w:type="pct"/>
            <w:tcBorders>
              <w:top w:val="nil"/>
              <w:left w:val="nil"/>
              <w:bottom w:val="single" w:sz="4" w:space="0" w:color="auto"/>
              <w:right w:val="single" w:sz="4" w:space="0" w:color="auto"/>
            </w:tcBorders>
            <w:shd w:val="clear" w:color="auto" w:fill="auto"/>
            <w:hideMark/>
          </w:tcPr>
          <w:p w14:paraId="6B9CF68F" w14:textId="77777777"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Health record</w:t>
            </w:r>
          </w:p>
        </w:tc>
        <w:tc>
          <w:tcPr>
            <w:tcW w:w="794" w:type="pct"/>
            <w:tcBorders>
              <w:top w:val="nil"/>
              <w:left w:val="nil"/>
              <w:bottom w:val="single" w:sz="4" w:space="0" w:color="auto"/>
              <w:right w:val="single" w:sz="4" w:space="0" w:color="auto"/>
            </w:tcBorders>
            <w:shd w:val="clear" w:color="auto" w:fill="auto"/>
            <w:noWrap/>
            <w:hideMark/>
          </w:tcPr>
          <w:p w14:paraId="7FABBE49" w14:textId="77777777" w:rsidR="00FB205A" w:rsidRPr="001461F7" w:rsidRDefault="00FB205A"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7AAFFDE9" w14:textId="50E922AB" w:rsidR="00FB205A" w:rsidRPr="001461F7" w:rsidRDefault="00FB205A" w:rsidP="00FB205A">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w:t>
            </w:r>
            <w:r>
              <w:rPr>
                <w:rFonts w:asciiTheme="minorHAnsi" w:eastAsia="Times New Roman" w:hAnsiTheme="minorHAnsi" w:cs="Calibri"/>
                <w:sz w:val="18"/>
                <w:szCs w:val="18"/>
              </w:rPr>
              <w:t>4</w:t>
            </w:r>
          </w:p>
        </w:tc>
      </w:tr>
      <w:tr w:rsidR="00FB205A" w:rsidRPr="001461F7" w14:paraId="7521A718" w14:textId="77777777" w:rsidTr="006329F9">
        <w:trPr>
          <w:trHeight w:val="1394"/>
        </w:trPr>
        <w:tc>
          <w:tcPr>
            <w:tcW w:w="635" w:type="pct"/>
            <w:tcBorders>
              <w:top w:val="nil"/>
              <w:left w:val="single" w:sz="4" w:space="0" w:color="auto"/>
              <w:bottom w:val="single" w:sz="4" w:space="0" w:color="auto"/>
              <w:right w:val="single" w:sz="4" w:space="0" w:color="auto"/>
            </w:tcBorders>
            <w:shd w:val="clear" w:color="auto" w:fill="auto"/>
          </w:tcPr>
          <w:p w14:paraId="3EAABF1B" w14:textId="7071A1FB"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Hospital Process</w:t>
            </w:r>
          </w:p>
        </w:tc>
        <w:tc>
          <w:tcPr>
            <w:tcW w:w="826" w:type="pct"/>
            <w:tcBorders>
              <w:top w:val="nil"/>
              <w:left w:val="nil"/>
              <w:bottom w:val="single" w:sz="4" w:space="0" w:color="auto"/>
              <w:right w:val="single" w:sz="4" w:space="0" w:color="auto"/>
            </w:tcBorders>
            <w:shd w:val="clear" w:color="auto" w:fill="auto"/>
          </w:tcPr>
          <w:p w14:paraId="377249EC" w14:textId="27143B62" w:rsidR="00FB205A" w:rsidRDefault="00FB205A" w:rsidP="00515CDF">
            <w:pPr>
              <w:spacing w:after="0" w:line="240" w:lineRule="auto"/>
              <w:rPr>
                <w:rFonts w:asciiTheme="minorHAnsi" w:eastAsia="Times New Roman" w:hAnsiTheme="minorHAnsi" w:cs="Calibri"/>
                <w:sz w:val="18"/>
                <w:szCs w:val="18"/>
              </w:rPr>
            </w:pPr>
            <w:r w:rsidRPr="00FB205A">
              <w:rPr>
                <w:rFonts w:asciiTheme="minorHAnsi" w:eastAsia="Times New Roman" w:hAnsiTheme="minorHAnsi" w:cs="Calibri"/>
                <w:sz w:val="18"/>
                <w:szCs w:val="18"/>
              </w:rPr>
              <w:t>Statin Prescribed at Discharge (AMI 10)</w:t>
            </w:r>
          </w:p>
        </w:tc>
        <w:tc>
          <w:tcPr>
            <w:tcW w:w="1219" w:type="pct"/>
            <w:tcBorders>
              <w:top w:val="nil"/>
              <w:left w:val="nil"/>
              <w:bottom w:val="single" w:sz="4" w:space="0" w:color="auto"/>
              <w:right w:val="single" w:sz="4" w:space="0" w:color="auto"/>
            </w:tcBorders>
            <w:shd w:val="clear" w:color="auto" w:fill="auto"/>
          </w:tcPr>
          <w:p w14:paraId="368AB7C7" w14:textId="3030A118" w:rsidR="00FB205A" w:rsidRPr="001461F7" w:rsidRDefault="00FB205A" w:rsidP="00515CDF">
            <w:pPr>
              <w:spacing w:after="0" w:line="240" w:lineRule="auto"/>
              <w:rPr>
                <w:rFonts w:asciiTheme="minorHAnsi" w:eastAsia="Times New Roman" w:hAnsiTheme="minorHAnsi" w:cs="Calibri"/>
                <w:sz w:val="18"/>
                <w:szCs w:val="18"/>
              </w:rPr>
            </w:pPr>
            <w:r w:rsidRPr="00FB205A">
              <w:rPr>
                <w:rFonts w:asciiTheme="minorHAnsi" w:eastAsia="Times New Roman" w:hAnsiTheme="minorHAnsi" w:cs="Calibri"/>
                <w:sz w:val="18"/>
                <w:szCs w:val="18"/>
              </w:rPr>
              <w:t>Percent of acute myocardial infarction (AMI) patients who are prescribed a statin at hospital discharge.</w:t>
            </w:r>
          </w:p>
        </w:tc>
        <w:tc>
          <w:tcPr>
            <w:tcW w:w="553" w:type="pct"/>
            <w:tcBorders>
              <w:top w:val="nil"/>
              <w:left w:val="nil"/>
              <w:bottom w:val="single" w:sz="4" w:space="0" w:color="auto"/>
              <w:right w:val="single" w:sz="4" w:space="0" w:color="auto"/>
            </w:tcBorders>
            <w:shd w:val="clear" w:color="auto" w:fill="auto"/>
          </w:tcPr>
          <w:p w14:paraId="02B92D5B" w14:textId="446E9439" w:rsidR="00FB205A" w:rsidRPr="001461F7" w:rsidRDefault="00FB20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tcPr>
          <w:p w14:paraId="150DAA4B" w14:textId="43C9946A" w:rsidR="00FB205A" w:rsidRDefault="00FB205A"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tcPr>
          <w:p w14:paraId="484AB57F" w14:textId="274F806C" w:rsidR="00FB205A" w:rsidRDefault="00FB205A"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E05192" w:rsidRPr="001461F7" w14:paraId="2812F5F8" w14:textId="77777777" w:rsidTr="006329F9">
        <w:trPr>
          <w:trHeight w:val="1394"/>
        </w:trPr>
        <w:tc>
          <w:tcPr>
            <w:tcW w:w="635" w:type="pct"/>
            <w:tcBorders>
              <w:top w:val="nil"/>
              <w:left w:val="single" w:sz="4" w:space="0" w:color="auto"/>
              <w:bottom w:val="single" w:sz="4" w:space="0" w:color="auto"/>
              <w:right w:val="single" w:sz="4" w:space="0" w:color="auto"/>
            </w:tcBorders>
            <w:shd w:val="clear" w:color="auto" w:fill="auto"/>
          </w:tcPr>
          <w:p w14:paraId="24BD6550" w14:textId="04FF381E"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826" w:type="pct"/>
            <w:tcBorders>
              <w:top w:val="nil"/>
              <w:left w:val="nil"/>
              <w:bottom w:val="single" w:sz="4" w:space="0" w:color="auto"/>
              <w:right w:val="single" w:sz="4" w:space="0" w:color="auto"/>
            </w:tcBorders>
            <w:shd w:val="clear" w:color="auto" w:fill="auto"/>
          </w:tcPr>
          <w:p w14:paraId="10E476E5" w14:textId="6405FE39" w:rsidR="00E05192" w:rsidRDefault="00E05192" w:rsidP="00515CDF">
            <w:pPr>
              <w:spacing w:after="0" w:line="240" w:lineRule="auto"/>
              <w:rPr>
                <w:rFonts w:asciiTheme="minorHAnsi" w:eastAsia="Times New Roman" w:hAnsiTheme="minorHAnsi" w:cs="Calibri"/>
                <w:sz w:val="18"/>
                <w:szCs w:val="18"/>
              </w:rPr>
            </w:pPr>
            <w:r w:rsidRPr="00E05192">
              <w:rPr>
                <w:rFonts w:asciiTheme="minorHAnsi" w:eastAsia="Times New Roman" w:hAnsiTheme="minorHAnsi" w:cs="Calibri"/>
                <w:sz w:val="18"/>
                <w:szCs w:val="18"/>
              </w:rPr>
              <w:t>Detailed Discharge Instructions (HF 1)</w:t>
            </w:r>
          </w:p>
        </w:tc>
        <w:tc>
          <w:tcPr>
            <w:tcW w:w="1219" w:type="pct"/>
            <w:tcBorders>
              <w:top w:val="nil"/>
              <w:left w:val="nil"/>
              <w:bottom w:val="single" w:sz="4" w:space="0" w:color="auto"/>
              <w:right w:val="single" w:sz="4" w:space="0" w:color="auto"/>
            </w:tcBorders>
            <w:shd w:val="clear" w:color="auto" w:fill="auto"/>
          </w:tcPr>
          <w:p w14:paraId="27B1F7F3" w14:textId="5C61E7FE" w:rsidR="00E05192" w:rsidRPr="001461F7" w:rsidRDefault="00E05192" w:rsidP="00E05192">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Percent of health failure patients who received detailed instructions at discharge.</w:t>
            </w:r>
          </w:p>
        </w:tc>
        <w:tc>
          <w:tcPr>
            <w:tcW w:w="553" w:type="pct"/>
            <w:tcBorders>
              <w:top w:val="nil"/>
              <w:left w:val="nil"/>
              <w:bottom w:val="single" w:sz="4" w:space="0" w:color="auto"/>
              <w:right w:val="single" w:sz="4" w:space="0" w:color="auto"/>
            </w:tcBorders>
            <w:shd w:val="clear" w:color="auto" w:fill="auto"/>
          </w:tcPr>
          <w:p w14:paraId="7181E710" w14:textId="099F7BB8"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tcPr>
          <w:p w14:paraId="1F8A3D16" w14:textId="4659EBBB" w:rsidR="00E05192" w:rsidRDefault="00E0519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4/1/201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tcPr>
          <w:p w14:paraId="15563A9A" w14:textId="02B52D05" w:rsidR="00E05192" w:rsidRDefault="00E05192" w:rsidP="00515CD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3/31/2013</w:t>
            </w:r>
          </w:p>
        </w:tc>
      </w:tr>
      <w:tr w:rsidR="00E05192" w:rsidRPr="001461F7" w14:paraId="4CA2BF40" w14:textId="77777777" w:rsidTr="006329F9">
        <w:trPr>
          <w:trHeight w:val="1394"/>
        </w:trPr>
        <w:tc>
          <w:tcPr>
            <w:tcW w:w="635" w:type="pct"/>
            <w:tcBorders>
              <w:top w:val="nil"/>
              <w:left w:val="single" w:sz="4" w:space="0" w:color="auto"/>
              <w:bottom w:val="single" w:sz="4" w:space="0" w:color="auto"/>
              <w:right w:val="single" w:sz="4" w:space="0" w:color="auto"/>
            </w:tcBorders>
            <w:shd w:val="clear" w:color="auto" w:fill="auto"/>
            <w:hideMark/>
          </w:tcPr>
          <w:p w14:paraId="3C13E55E"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826" w:type="pct"/>
            <w:tcBorders>
              <w:top w:val="nil"/>
              <w:left w:val="nil"/>
              <w:bottom w:val="single" w:sz="4" w:space="0" w:color="auto"/>
              <w:right w:val="single" w:sz="4" w:space="0" w:color="auto"/>
            </w:tcBorders>
            <w:shd w:val="clear" w:color="auto" w:fill="auto"/>
            <w:hideMark/>
          </w:tcPr>
          <w:p w14:paraId="62532A94" w14:textId="77777777" w:rsidR="00E05192" w:rsidRPr="001461F7" w:rsidRDefault="00E0519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Heart failure patients given an e</w:t>
            </w:r>
            <w:r w:rsidRPr="001461F7">
              <w:rPr>
                <w:rFonts w:asciiTheme="minorHAnsi" w:eastAsia="Times New Roman" w:hAnsiTheme="minorHAnsi" w:cs="Calibri"/>
                <w:sz w:val="18"/>
                <w:szCs w:val="18"/>
              </w:rPr>
              <w:t xml:space="preserve">valuation of left ventricular systolic function (LVS) </w:t>
            </w:r>
            <w:r>
              <w:rPr>
                <w:rFonts w:asciiTheme="minorHAnsi" w:eastAsia="Times New Roman" w:hAnsiTheme="minorHAnsi" w:cs="Calibri"/>
                <w:sz w:val="18"/>
                <w:szCs w:val="18"/>
              </w:rPr>
              <w:t xml:space="preserve">(HF 2) </w:t>
            </w:r>
          </w:p>
        </w:tc>
        <w:tc>
          <w:tcPr>
            <w:tcW w:w="1219" w:type="pct"/>
            <w:tcBorders>
              <w:top w:val="nil"/>
              <w:left w:val="nil"/>
              <w:bottom w:val="single" w:sz="4" w:space="0" w:color="auto"/>
              <w:right w:val="single" w:sz="4" w:space="0" w:color="auto"/>
            </w:tcBorders>
            <w:shd w:val="clear" w:color="auto" w:fill="auto"/>
            <w:hideMark/>
          </w:tcPr>
          <w:p w14:paraId="2B954B08"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heart failure patients with documentation in the hospital record that left ventricular systolic (LVS) function was evaluated before arrival, during hospitalization, or is planned for after discharge.</w:t>
            </w:r>
          </w:p>
        </w:tc>
        <w:tc>
          <w:tcPr>
            <w:tcW w:w="553" w:type="pct"/>
            <w:tcBorders>
              <w:top w:val="nil"/>
              <w:left w:val="nil"/>
              <w:bottom w:val="single" w:sz="4" w:space="0" w:color="auto"/>
              <w:right w:val="single" w:sz="4" w:space="0" w:color="auto"/>
            </w:tcBorders>
            <w:shd w:val="clear" w:color="auto" w:fill="auto"/>
            <w:hideMark/>
          </w:tcPr>
          <w:p w14:paraId="196C2E87"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hideMark/>
          </w:tcPr>
          <w:p w14:paraId="6641A27E" w14:textId="68360B7A" w:rsidR="00E05192" w:rsidRPr="001461F7" w:rsidRDefault="00E051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w:t>
            </w:r>
            <w:r w:rsidRPr="001461F7">
              <w:rPr>
                <w:rFonts w:asciiTheme="minorHAnsi" w:eastAsia="Times New Roman" w:hAnsiTheme="minorHAnsi" w:cs="Calibri"/>
                <w:sz w:val="18"/>
                <w:szCs w:val="18"/>
              </w:rPr>
              <w:t>/1/201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7F03B77A" w14:textId="069C3E4A" w:rsidR="00E05192" w:rsidRPr="001461F7" w:rsidRDefault="00E051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w:t>
            </w:r>
            <w:r w:rsidRPr="001461F7">
              <w:rPr>
                <w:rFonts w:asciiTheme="minorHAnsi" w:eastAsia="Times New Roman" w:hAnsiTheme="minorHAnsi" w:cs="Calibri"/>
                <w:sz w:val="18"/>
                <w:szCs w:val="18"/>
              </w:rPr>
              <w:t>/31/2013</w:t>
            </w:r>
          </w:p>
        </w:tc>
      </w:tr>
      <w:tr w:rsidR="00E05192" w:rsidRPr="001461F7" w14:paraId="489C4C32" w14:textId="77777777" w:rsidTr="006329F9">
        <w:trPr>
          <w:trHeight w:val="1340"/>
        </w:trPr>
        <w:tc>
          <w:tcPr>
            <w:tcW w:w="635" w:type="pct"/>
            <w:tcBorders>
              <w:top w:val="nil"/>
              <w:left w:val="single" w:sz="4" w:space="0" w:color="auto"/>
              <w:bottom w:val="single" w:sz="4" w:space="0" w:color="auto"/>
              <w:right w:val="single" w:sz="4" w:space="0" w:color="auto"/>
            </w:tcBorders>
            <w:shd w:val="clear" w:color="auto" w:fill="auto"/>
            <w:hideMark/>
          </w:tcPr>
          <w:p w14:paraId="0CD1D5A7"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Hospital Process</w:t>
            </w:r>
          </w:p>
        </w:tc>
        <w:tc>
          <w:tcPr>
            <w:tcW w:w="826" w:type="pct"/>
            <w:tcBorders>
              <w:top w:val="nil"/>
              <w:left w:val="nil"/>
              <w:bottom w:val="single" w:sz="4" w:space="0" w:color="auto"/>
              <w:right w:val="single" w:sz="4" w:space="0" w:color="auto"/>
            </w:tcBorders>
            <w:shd w:val="clear" w:color="auto" w:fill="auto"/>
            <w:hideMark/>
          </w:tcPr>
          <w:p w14:paraId="68FE1632" w14:textId="77777777" w:rsidR="00E05192" w:rsidRPr="001461F7" w:rsidRDefault="00E05192" w:rsidP="004F5742">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Pneumonia patients given the most appropriate initial antibiotic(s) (</w:t>
            </w:r>
            <w:r w:rsidRPr="00B76036">
              <w:rPr>
                <w:rFonts w:asciiTheme="minorHAnsi" w:eastAsia="Times New Roman" w:hAnsiTheme="minorHAnsi" w:cs="Calibri"/>
                <w:sz w:val="18"/>
                <w:szCs w:val="18"/>
              </w:rPr>
              <w:t>PN 6</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76A674A5"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pneumonia patients 18 years of age or older selected for initial receipts of antibiotics for community-acquired pneumonia (CAP)</w:t>
            </w:r>
            <w:r>
              <w:rPr>
                <w:rFonts w:asciiTheme="minorHAnsi" w:eastAsia="Times New Roman" w:hAnsiTheme="minorHAnsi" w:cs="Calibri"/>
                <w:sz w:val="18"/>
                <w:szCs w:val="18"/>
              </w:rPr>
              <w:t>.</w:t>
            </w:r>
          </w:p>
        </w:tc>
        <w:tc>
          <w:tcPr>
            <w:tcW w:w="553" w:type="pct"/>
            <w:tcBorders>
              <w:top w:val="nil"/>
              <w:left w:val="nil"/>
              <w:bottom w:val="single" w:sz="4" w:space="0" w:color="auto"/>
              <w:right w:val="single" w:sz="4" w:space="0" w:color="auto"/>
            </w:tcBorders>
            <w:shd w:val="clear" w:color="auto" w:fill="auto"/>
            <w:hideMark/>
          </w:tcPr>
          <w:p w14:paraId="6AD5E123" w14:textId="77777777" w:rsidR="00E05192" w:rsidRPr="001461F7" w:rsidRDefault="00E0519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hideMark/>
          </w:tcPr>
          <w:p w14:paraId="2A2AFE04" w14:textId="47C9D91E" w:rsidR="00E05192" w:rsidRPr="001461F7" w:rsidRDefault="00E05192" w:rsidP="00DC0E5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w:t>
            </w:r>
            <w:r w:rsidRPr="001461F7">
              <w:rPr>
                <w:rFonts w:asciiTheme="minorHAnsi" w:eastAsia="Times New Roman" w:hAnsiTheme="minorHAnsi" w:cs="Calibri"/>
                <w:sz w:val="18"/>
                <w:szCs w:val="18"/>
              </w:rPr>
              <w:t>/1/201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4E5FB47F" w14:textId="2AC80603" w:rsidR="00E05192" w:rsidRPr="001461F7" w:rsidRDefault="00E05192" w:rsidP="00E52A6E">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w:t>
            </w:r>
            <w:r w:rsidR="00E52A6E" w:rsidRPr="001461F7">
              <w:rPr>
                <w:rFonts w:asciiTheme="minorHAnsi" w:eastAsia="Times New Roman" w:hAnsiTheme="minorHAnsi" w:cs="Calibri"/>
                <w:sz w:val="18"/>
                <w:szCs w:val="18"/>
              </w:rPr>
              <w:t>201</w:t>
            </w:r>
            <w:r w:rsidR="00E52A6E">
              <w:rPr>
                <w:rFonts w:asciiTheme="minorHAnsi" w:eastAsia="Times New Roman" w:hAnsiTheme="minorHAnsi" w:cs="Calibri"/>
                <w:sz w:val="18"/>
                <w:szCs w:val="18"/>
              </w:rPr>
              <w:t>4</w:t>
            </w:r>
          </w:p>
        </w:tc>
      </w:tr>
      <w:tr w:rsidR="00E05192" w:rsidRPr="001461F7" w14:paraId="656F2187" w14:textId="77777777" w:rsidTr="006329F9">
        <w:trPr>
          <w:trHeight w:val="2040"/>
        </w:trPr>
        <w:tc>
          <w:tcPr>
            <w:tcW w:w="635" w:type="pct"/>
            <w:tcBorders>
              <w:top w:val="nil"/>
              <w:left w:val="single" w:sz="4" w:space="0" w:color="auto"/>
              <w:bottom w:val="single" w:sz="4" w:space="0" w:color="auto"/>
              <w:right w:val="single" w:sz="4" w:space="0" w:color="auto"/>
            </w:tcBorders>
            <w:shd w:val="clear" w:color="auto" w:fill="auto"/>
            <w:hideMark/>
          </w:tcPr>
          <w:p w14:paraId="2F23EEC2"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826" w:type="pct"/>
            <w:tcBorders>
              <w:top w:val="nil"/>
              <w:left w:val="nil"/>
              <w:bottom w:val="single" w:sz="4" w:space="0" w:color="auto"/>
              <w:right w:val="single" w:sz="4" w:space="0" w:color="auto"/>
            </w:tcBorders>
            <w:shd w:val="clear" w:color="auto" w:fill="auto"/>
            <w:hideMark/>
          </w:tcPr>
          <w:p w14:paraId="108B6517"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Prophylactic antibiotic received within 1 hour prior to surgical incision </w:t>
            </w:r>
            <w:r w:rsidRPr="00B76036">
              <w:rPr>
                <w:rFonts w:asciiTheme="minorHAnsi" w:eastAsia="Times New Roman" w:hAnsiTheme="minorHAnsi" w:cs="Calibri"/>
                <w:sz w:val="18"/>
                <w:szCs w:val="18"/>
              </w:rPr>
              <w:t>(SCIP-Inf-1a)</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4EB1EA50"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Surgical patients with prophylactic antibiotics initiated within one hour prior to surgical incision. Patients who received vancomycin or a fluoroquinolone for prophylactic antibiotics should have the antibiotics initiated within two hours prior to surgical incision. </w:t>
            </w:r>
            <w:r>
              <w:rPr>
                <w:rFonts w:asciiTheme="minorHAnsi" w:eastAsia="Times New Roman" w:hAnsiTheme="minorHAnsi" w:cs="Calibri"/>
                <w:sz w:val="18"/>
                <w:szCs w:val="18"/>
              </w:rPr>
              <w:t>The extended window is due to the longer infusion time required for these antibiotics.</w:t>
            </w:r>
          </w:p>
        </w:tc>
        <w:tc>
          <w:tcPr>
            <w:tcW w:w="553" w:type="pct"/>
            <w:tcBorders>
              <w:top w:val="nil"/>
              <w:left w:val="nil"/>
              <w:bottom w:val="single" w:sz="4" w:space="0" w:color="auto"/>
              <w:right w:val="single" w:sz="4" w:space="0" w:color="auto"/>
            </w:tcBorders>
            <w:shd w:val="clear" w:color="auto" w:fill="auto"/>
            <w:hideMark/>
          </w:tcPr>
          <w:p w14:paraId="1A76D96E"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hideMark/>
          </w:tcPr>
          <w:p w14:paraId="5C8006AF" w14:textId="15000883" w:rsidR="00E05192" w:rsidRPr="001461F7" w:rsidRDefault="00E05192" w:rsidP="006329F9">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4/1/</w:t>
            </w:r>
            <w:r w:rsidRPr="001461F7">
              <w:rPr>
                <w:rFonts w:asciiTheme="minorHAnsi" w:eastAsia="Times New Roman" w:hAnsiTheme="minorHAnsi" w:cs="Calibri"/>
                <w:sz w:val="18"/>
                <w:szCs w:val="18"/>
              </w:rPr>
              <w:t>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368D4A7B" w14:textId="12525F0B" w:rsidR="00E05192" w:rsidRPr="001461F7" w:rsidRDefault="00E051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3/31/2014</w:t>
            </w:r>
          </w:p>
        </w:tc>
      </w:tr>
      <w:tr w:rsidR="00E05192" w:rsidRPr="001461F7" w14:paraId="0A75CD00" w14:textId="77777777" w:rsidTr="006329F9">
        <w:trPr>
          <w:trHeight w:val="1223"/>
        </w:trPr>
        <w:tc>
          <w:tcPr>
            <w:tcW w:w="635" w:type="pct"/>
            <w:tcBorders>
              <w:top w:val="nil"/>
              <w:left w:val="single" w:sz="4" w:space="0" w:color="auto"/>
              <w:bottom w:val="single" w:sz="4" w:space="0" w:color="auto"/>
              <w:right w:val="single" w:sz="4" w:space="0" w:color="auto"/>
            </w:tcBorders>
            <w:shd w:val="clear" w:color="auto" w:fill="auto"/>
            <w:hideMark/>
          </w:tcPr>
          <w:p w14:paraId="736637DE"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Surgical Care Improvement Project</w:t>
            </w:r>
          </w:p>
        </w:tc>
        <w:tc>
          <w:tcPr>
            <w:tcW w:w="826" w:type="pct"/>
            <w:tcBorders>
              <w:top w:val="nil"/>
              <w:left w:val="nil"/>
              <w:bottom w:val="single" w:sz="4" w:space="0" w:color="auto"/>
              <w:right w:val="single" w:sz="4" w:space="0" w:color="auto"/>
            </w:tcBorders>
            <w:shd w:val="clear" w:color="auto" w:fill="auto"/>
            <w:hideMark/>
          </w:tcPr>
          <w:p w14:paraId="337A3B35"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Prophylactic antibiotic selection for surgical patients</w:t>
            </w:r>
            <w:r>
              <w:rPr>
                <w:rFonts w:asciiTheme="minorHAnsi" w:eastAsia="Times New Roman" w:hAnsiTheme="minorHAnsi" w:cs="Calibri"/>
                <w:sz w:val="18"/>
                <w:szCs w:val="18"/>
              </w:rPr>
              <w:t xml:space="preserve"> </w:t>
            </w:r>
            <w:r w:rsidRPr="00B76036">
              <w:rPr>
                <w:rFonts w:asciiTheme="minorHAnsi" w:eastAsia="Times New Roman" w:hAnsiTheme="minorHAnsi" w:cs="Calibri"/>
                <w:sz w:val="18"/>
                <w:szCs w:val="18"/>
              </w:rPr>
              <w:t>(SCIP-Inf-2a)</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733E27F5"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patients who received prophylactic antibiotics consistent with current guidelines (specific to each type of surgical procedure).</w:t>
            </w:r>
          </w:p>
        </w:tc>
        <w:tc>
          <w:tcPr>
            <w:tcW w:w="553" w:type="pct"/>
            <w:tcBorders>
              <w:top w:val="nil"/>
              <w:left w:val="nil"/>
              <w:bottom w:val="single" w:sz="4" w:space="0" w:color="auto"/>
              <w:right w:val="single" w:sz="4" w:space="0" w:color="auto"/>
            </w:tcBorders>
            <w:shd w:val="clear" w:color="auto" w:fill="auto"/>
            <w:hideMark/>
          </w:tcPr>
          <w:p w14:paraId="328FDBB0"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hideMark/>
          </w:tcPr>
          <w:p w14:paraId="53EBC82D" w14:textId="146467C5" w:rsidR="00E05192" w:rsidRPr="001461F7" w:rsidRDefault="00E051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4/1/</w:t>
            </w:r>
            <w:r w:rsidRPr="001461F7">
              <w:rPr>
                <w:rFonts w:asciiTheme="minorHAnsi" w:eastAsia="Times New Roman" w:hAnsiTheme="minorHAnsi" w:cs="Calibri"/>
                <w:sz w:val="18"/>
                <w:szCs w:val="18"/>
              </w:rPr>
              <w:t>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176B4D01" w14:textId="248FD506" w:rsidR="00E05192" w:rsidRPr="001461F7" w:rsidRDefault="00E05192" w:rsidP="00CA3555">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w:t>
            </w:r>
            <w:r w:rsidRPr="001461F7">
              <w:rPr>
                <w:rFonts w:asciiTheme="minorHAnsi" w:eastAsia="Times New Roman" w:hAnsiTheme="minorHAnsi" w:cs="Calibri"/>
                <w:sz w:val="18"/>
                <w:szCs w:val="18"/>
              </w:rPr>
              <w:t>/31/201</w:t>
            </w:r>
            <w:r w:rsidR="00CA3555">
              <w:rPr>
                <w:rFonts w:asciiTheme="minorHAnsi" w:eastAsia="Times New Roman" w:hAnsiTheme="minorHAnsi" w:cs="Calibri"/>
                <w:sz w:val="18"/>
                <w:szCs w:val="18"/>
              </w:rPr>
              <w:t>4</w:t>
            </w:r>
          </w:p>
        </w:tc>
      </w:tr>
      <w:tr w:rsidR="00E05192" w:rsidRPr="001461F7" w14:paraId="02460C36" w14:textId="77777777" w:rsidTr="006329F9">
        <w:trPr>
          <w:trHeight w:val="2040"/>
        </w:trPr>
        <w:tc>
          <w:tcPr>
            <w:tcW w:w="635" w:type="pct"/>
            <w:tcBorders>
              <w:top w:val="nil"/>
              <w:left w:val="single" w:sz="4" w:space="0" w:color="auto"/>
              <w:bottom w:val="single" w:sz="4" w:space="0" w:color="auto"/>
              <w:right w:val="single" w:sz="4" w:space="0" w:color="auto"/>
            </w:tcBorders>
            <w:shd w:val="clear" w:color="auto" w:fill="auto"/>
            <w:hideMark/>
          </w:tcPr>
          <w:p w14:paraId="64461DDD"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826" w:type="pct"/>
            <w:tcBorders>
              <w:top w:val="nil"/>
              <w:left w:val="nil"/>
              <w:bottom w:val="single" w:sz="4" w:space="0" w:color="auto"/>
              <w:right w:val="single" w:sz="4" w:space="0" w:color="auto"/>
            </w:tcBorders>
            <w:shd w:val="clear" w:color="auto" w:fill="auto"/>
            <w:hideMark/>
          </w:tcPr>
          <w:p w14:paraId="70F48F35"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Prophylactic antibiotics discontinued within 24 hours after surgery end time </w:t>
            </w:r>
            <w:r w:rsidRPr="00B76036">
              <w:rPr>
                <w:rFonts w:asciiTheme="minorHAnsi" w:eastAsia="Times New Roman" w:hAnsiTheme="minorHAnsi" w:cs="Calibri"/>
                <w:sz w:val="18"/>
                <w:szCs w:val="18"/>
              </w:rPr>
              <w:t>(SCIP-Inf-3a)</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7126E1FB"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patients whose prophylactic antibiotics were discontinued within 24 hours after Anesthesia End Time. The Society of Thoracic Surgeons (STS) Practice Guideline for Antibiotic Prophylaxis in Cardiac Surgery (2006) indicates that there is no reason to extend antibiotics beyond 48 hours for cardiac surgery and very explicitly states that antibiotics should not be extended beyond 48 hours even with tubes and drains in place for cardiac surgery.</w:t>
            </w:r>
          </w:p>
        </w:tc>
        <w:tc>
          <w:tcPr>
            <w:tcW w:w="553" w:type="pct"/>
            <w:tcBorders>
              <w:top w:val="nil"/>
              <w:left w:val="nil"/>
              <w:bottom w:val="single" w:sz="4" w:space="0" w:color="auto"/>
              <w:right w:val="single" w:sz="4" w:space="0" w:color="auto"/>
            </w:tcBorders>
            <w:shd w:val="clear" w:color="auto" w:fill="auto"/>
            <w:hideMark/>
          </w:tcPr>
          <w:p w14:paraId="7BB85297"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hideMark/>
          </w:tcPr>
          <w:p w14:paraId="69456729" w14:textId="777BAA02" w:rsidR="00E05192" w:rsidRPr="001461F7" w:rsidRDefault="00E05192" w:rsidP="00DC0E5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4/1/</w:t>
            </w:r>
            <w:r w:rsidRPr="001461F7">
              <w:rPr>
                <w:rFonts w:asciiTheme="minorHAnsi" w:eastAsia="Times New Roman" w:hAnsiTheme="minorHAnsi" w:cs="Calibri"/>
                <w:sz w:val="18"/>
                <w:szCs w:val="18"/>
              </w:rPr>
              <w:t>201</w:t>
            </w:r>
            <w:r>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269376EC" w14:textId="48C179BD" w:rsidR="00E05192" w:rsidRPr="001461F7" w:rsidRDefault="00E05192" w:rsidP="00CA3555">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w:t>
            </w:r>
            <w:r w:rsidRPr="001461F7">
              <w:rPr>
                <w:rFonts w:asciiTheme="minorHAnsi" w:eastAsia="Times New Roman" w:hAnsiTheme="minorHAnsi" w:cs="Calibri"/>
                <w:sz w:val="18"/>
                <w:szCs w:val="18"/>
              </w:rPr>
              <w:t>/31/201</w:t>
            </w:r>
            <w:r w:rsidR="00CA3555">
              <w:rPr>
                <w:rFonts w:asciiTheme="minorHAnsi" w:eastAsia="Times New Roman" w:hAnsiTheme="minorHAnsi" w:cs="Calibri"/>
                <w:sz w:val="18"/>
                <w:szCs w:val="18"/>
              </w:rPr>
              <w:t>4</w:t>
            </w:r>
          </w:p>
        </w:tc>
      </w:tr>
      <w:tr w:rsidR="00E05192" w:rsidRPr="001461F7" w14:paraId="14C6A166" w14:textId="77777777" w:rsidTr="006329F9">
        <w:trPr>
          <w:trHeight w:val="1835"/>
        </w:trPr>
        <w:tc>
          <w:tcPr>
            <w:tcW w:w="635" w:type="pct"/>
            <w:tcBorders>
              <w:top w:val="nil"/>
              <w:left w:val="single" w:sz="4" w:space="0" w:color="auto"/>
              <w:bottom w:val="single" w:sz="4" w:space="0" w:color="auto"/>
              <w:right w:val="single" w:sz="4" w:space="0" w:color="auto"/>
            </w:tcBorders>
            <w:shd w:val="clear" w:color="auto" w:fill="auto"/>
            <w:hideMark/>
          </w:tcPr>
          <w:p w14:paraId="45F51429"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826" w:type="pct"/>
            <w:tcBorders>
              <w:top w:val="nil"/>
              <w:left w:val="nil"/>
              <w:bottom w:val="single" w:sz="4" w:space="0" w:color="auto"/>
              <w:right w:val="single" w:sz="4" w:space="0" w:color="auto"/>
            </w:tcBorders>
            <w:shd w:val="clear" w:color="auto" w:fill="auto"/>
            <w:hideMark/>
          </w:tcPr>
          <w:p w14:paraId="66134342"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Urinary catheter removed on Postoperative Day 1 (POD1) or Postoperative Day 2 (POD2) with</w:t>
            </w:r>
            <w:r>
              <w:rPr>
                <w:rFonts w:asciiTheme="minorHAnsi" w:eastAsia="Times New Roman" w:hAnsiTheme="minorHAnsi" w:cs="Calibri"/>
                <w:sz w:val="18"/>
                <w:szCs w:val="18"/>
              </w:rPr>
              <w:t xml:space="preserve"> day of surgery being day zero </w:t>
            </w:r>
            <w:r w:rsidRPr="00B76036">
              <w:rPr>
                <w:rFonts w:asciiTheme="minorHAnsi" w:eastAsia="Times New Roman" w:hAnsiTheme="minorHAnsi" w:cs="Calibri"/>
                <w:sz w:val="18"/>
                <w:szCs w:val="18"/>
              </w:rPr>
              <w:t>(SCIP-Inf-</w:t>
            </w:r>
            <w:r>
              <w:rPr>
                <w:rFonts w:asciiTheme="minorHAnsi" w:eastAsia="Times New Roman" w:hAnsiTheme="minorHAnsi" w:cs="Calibri"/>
                <w:sz w:val="18"/>
                <w:szCs w:val="18"/>
              </w:rPr>
              <w:t>9</w:t>
            </w:r>
            <w:r w:rsidRPr="00B76036">
              <w:rPr>
                <w:rFonts w:asciiTheme="minorHAnsi" w:eastAsia="Times New Roman" w:hAnsiTheme="minorHAnsi" w:cs="Calibri"/>
                <w:sz w:val="18"/>
                <w:szCs w:val="18"/>
              </w:rPr>
              <w:t>)</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0C081711"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patients with urinary catheter removed on Postoperative Day 1 or Postoperative Day 2 with day of surgery being day zero.</w:t>
            </w:r>
          </w:p>
        </w:tc>
        <w:tc>
          <w:tcPr>
            <w:tcW w:w="553" w:type="pct"/>
            <w:tcBorders>
              <w:top w:val="nil"/>
              <w:left w:val="nil"/>
              <w:bottom w:val="single" w:sz="4" w:space="0" w:color="auto"/>
              <w:right w:val="single" w:sz="4" w:space="0" w:color="auto"/>
            </w:tcBorders>
            <w:shd w:val="clear" w:color="auto" w:fill="auto"/>
            <w:hideMark/>
          </w:tcPr>
          <w:p w14:paraId="2D69A3B8"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hideMark/>
          </w:tcPr>
          <w:p w14:paraId="48BA9AB1" w14:textId="04ABA983" w:rsidR="00E05192" w:rsidRPr="001461F7" w:rsidRDefault="00CA3555" w:rsidP="00DC0E5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w:t>
            </w:r>
            <w:r w:rsidR="00E05192">
              <w:rPr>
                <w:rFonts w:asciiTheme="minorHAnsi" w:eastAsia="Times New Roman" w:hAnsiTheme="minorHAnsi" w:cs="Calibri"/>
                <w:sz w:val="18"/>
                <w:szCs w:val="18"/>
              </w:rPr>
              <w:t>/1/</w:t>
            </w:r>
            <w:r w:rsidR="00E05192" w:rsidRPr="001461F7">
              <w:rPr>
                <w:rFonts w:asciiTheme="minorHAnsi" w:eastAsia="Times New Roman" w:hAnsiTheme="minorHAnsi" w:cs="Calibri"/>
                <w:sz w:val="18"/>
                <w:szCs w:val="18"/>
              </w:rPr>
              <w:t>201</w:t>
            </w:r>
            <w:r w:rsidR="00E05192">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39CD51C4" w14:textId="47DB75C6" w:rsidR="00E05192" w:rsidRPr="001461F7" w:rsidRDefault="00CA3555" w:rsidP="00CA3555">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w:t>
            </w:r>
            <w:r w:rsidR="00E05192" w:rsidRPr="001461F7">
              <w:rPr>
                <w:rFonts w:asciiTheme="minorHAnsi" w:eastAsia="Times New Roman" w:hAnsiTheme="minorHAnsi" w:cs="Calibri"/>
                <w:sz w:val="18"/>
                <w:szCs w:val="18"/>
              </w:rPr>
              <w:t>/31/201</w:t>
            </w:r>
            <w:r>
              <w:rPr>
                <w:rFonts w:asciiTheme="minorHAnsi" w:eastAsia="Times New Roman" w:hAnsiTheme="minorHAnsi" w:cs="Calibri"/>
                <w:sz w:val="18"/>
                <w:szCs w:val="18"/>
              </w:rPr>
              <w:t>4</w:t>
            </w:r>
          </w:p>
        </w:tc>
      </w:tr>
      <w:tr w:rsidR="00E05192" w:rsidRPr="001461F7" w14:paraId="799FC85F" w14:textId="77777777" w:rsidTr="006329F9">
        <w:trPr>
          <w:trHeight w:val="2040"/>
        </w:trPr>
        <w:tc>
          <w:tcPr>
            <w:tcW w:w="635" w:type="pct"/>
            <w:tcBorders>
              <w:top w:val="nil"/>
              <w:left w:val="single" w:sz="4" w:space="0" w:color="auto"/>
              <w:bottom w:val="single" w:sz="4" w:space="0" w:color="auto"/>
              <w:right w:val="single" w:sz="4" w:space="0" w:color="auto"/>
            </w:tcBorders>
            <w:shd w:val="clear" w:color="auto" w:fill="auto"/>
            <w:hideMark/>
          </w:tcPr>
          <w:p w14:paraId="232A8DB0"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826" w:type="pct"/>
            <w:tcBorders>
              <w:top w:val="nil"/>
              <w:left w:val="nil"/>
              <w:bottom w:val="single" w:sz="4" w:space="0" w:color="auto"/>
              <w:right w:val="single" w:sz="4" w:space="0" w:color="auto"/>
            </w:tcBorders>
            <w:shd w:val="clear" w:color="auto" w:fill="auto"/>
            <w:hideMark/>
          </w:tcPr>
          <w:p w14:paraId="328A654A"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Surgery patients who received appropriate venous thromboembolism prophylaxis within 24 hours prior to surgery to 24 hours after surgery</w:t>
            </w:r>
            <w:r>
              <w:rPr>
                <w:rFonts w:asciiTheme="minorHAnsi" w:eastAsia="Times New Roman" w:hAnsiTheme="minorHAnsi" w:cs="Calibri"/>
                <w:sz w:val="18"/>
                <w:szCs w:val="18"/>
              </w:rPr>
              <w:t xml:space="preserve"> (SCIP-VTE-2</w:t>
            </w:r>
            <w:r w:rsidRPr="00B76036">
              <w:rPr>
                <w:rFonts w:asciiTheme="minorHAnsi" w:eastAsia="Times New Roman" w:hAnsiTheme="minorHAnsi" w:cs="Calibri"/>
                <w:sz w:val="18"/>
                <w:szCs w:val="18"/>
              </w:rPr>
              <w:t>)</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025CA53F"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Surgery patients who received appropriate venous thromboembolism (VTE) prophylaxis within 24 hours prior to Surgical Incision Time to 24 hours after Surgery End Time.</w:t>
            </w:r>
          </w:p>
        </w:tc>
        <w:tc>
          <w:tcPr>
            <w:tcW w:w="553" w:type="pct"/>
            <w:tcBorders>
              <w:top w:val="nil"/>
              <w:left w:val="nil"/>
              <w:bottom w:val="single" w:sz="4" w:space="0" w:color="auto"/>
              <w:right w:val="single" w:sz="4" w:space="0" w:color="auto"/>
            </w:tcBorders>
            <w:shd w:val="clear" w:color="auto" w:fill="auto"/>
            <w:hideMark/>
          </w:tcPr>
          <w:p w14:paraId="373C21CD"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nil"/>
              <w:left w:val="nil"/>
              <w:bottom w:val="single" w:sz="4" w:space="0" w:color="auto"/>
              <w:right w:val="single" w:sz="4" w:space="0" w:color="auto"/>
            </w:tcBorders>
            <w:shd w:val="clear" w:color="auto" w:fill="auto"/>
            <w:noWrap/>
            <w:hideMark/>
          </w:tcPr>
          <w:p w14:paraId="18E98CFE" w14:textId="3D49EEC2" w:rsidR="00E05192" w:rsidRPr="001461F7" w:rsidRDefault="00CA3555" w:rsidP="00DC0E5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w:t>
            </w:r>
            <w:r w:rsidR="00E05192">
              <w:rPr>
                <w:rFonts w:asciiTheme="minorHAnsi" w:eastAsia="Times New Roman" w:hAnsiTheme="minorHAnsi" w:cs="Calibri"/>
                <w:sz w:val="18"/>
                <w:szCs w:val="18"/>
              </w:rPr>
              <w:t>/1/</w:t>
            </w:r>
            <w:r w:rsidR="00E05192" w:rsidRPr="001461F7">
              <w:rPr>
                <w:rFonts w:asciiTheme="minorHAnsi" w:eastAsia="Times New Roman" w:hAnsiTheme="minorHAnsi" w:cs="Calibri"/>
                <w:sz w:val="18"/>
                <w:szCs w:val="18"/>
              </w:rPr>
              <w:t>201</w:t>
            </w:r>
            <w:r w:rsidR="00E05192">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52D2BCBF" w14:textId="47CA9EFE" w:rsidR="00E05192" w:rsidRPr="001461F7" w:rsidRDefault="00CA3555"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3/31/2014</w:t>
            </w:r>
          </w:p>
        </w:tc>
      </w:tr>
      <w:tr w:rsidR="00E05192" w:rsidRPr="001461F7" w14:paraId="4E01AE21" w14:textId="77777777" w:rsidTr="006329F9">
        <w:trPr>
          <w:trHeight w:val="2040"/>
        </w:trPr>
        <w:tc>
          <w:tcPr>
            <w:tcW w:w="635" w:type="pct"/>
            <w:tcBorders>
              <w:top w:val="nil"/>
              <w:left w:val="single" w:sz="4" w:space="0" w:color="auto"/>
              <w:bottom w:val="single" w:sz="4" w:space="0" w:color="auto"/>
              <w:right w:val="single" w:sz="4" w:space="0" w:color="auto"/>
            </w:tcBorders>
            <w:shd w:val="clear" w:color="auto" w:fill="auto"/>
            <w:hideMark/>
          </w:tcPr>
          <w:p w14:paraId="01D6CE51"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Surgical Care Improvement Project</w:t>
            </w:r>
          </w:p>
        </w:tc>
        <w:tc>
          <w:tcPr>
            <w:tcW w:w="826" w:type="pct"/>
            <w:tcBorders>
              <w:top w:val="nil"/>
              <w:left w:val="nil"/>
              <w:bottom w:val="single" w:sz="4" w:space="0" w:color="auto"/>
              <w:right w:val="single" w:sz="4" w:space="0" w:color="auto"/>
            </w:tcBorders>
            <w:shd w:val="clear" w:color="auto" w:fill="auto"/>
            <w:hideMark/>
          </w:tcPr>
          <w:p w14:paraId="28B598D3"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Surgery patients on beta-blocker therapy prior to arrival who received a beta-blocker during the perioperative period</w:t>
            </w:r>
            <w:r>
              <w:rPr>
                <w:rFonts w:asciiTheme="minorHAnsi" w:eastAsia="Times New Roman" w:hAnsiTheme="minorHAnsi" w:cs="Calibri"/>
                <w:sz w:val="18"/>
                <w:szCs w:val="18"/>
              </w:rPr>
              <w:t xml:space="preserve"> (</w:t>
            </w:r>
            <w:r w:rsidRPr="00B76036">
              <w:rPr>
                <w:rFonts w:asciiTheme="minorHAnsi" w:eastAsia="Times New Roman" w:hAnsiTheme="minorHAnsi" w:cs="Calibri"/>
                <w:sz w:val="18"/>
                <w:szCs w:val="18"/>
              </w:rPr>
              <w:t>SCIP-Card-2</w:t>
            </w:r>
            <w:r>
              <w:rPr>
                <w:rFonts w:asciiTheme="minorHAnsi" w:eastAsia="Times New Roman" w:hAnsiTheme="minorHAnsi" w:cs="Calibri"/>
                <w:sz w:val="18"/>
                <w:szCs w:val="18"/>
              </w:rPr>
              <w:t xml:space="preserve">) </w:t>
            </w:r>
          </w:p>
        </w:tc>
        <w:tc>
          <w:tcPr>
            <w:tcW w:w="1219" w:type="pct"/>
            <w:tcBorders>
              <w:top w:val="nil"/>
              <w:left w:val="nil"/>
              <w:bottom w:val="single" w:sz="4" w:space="0" w:color="auto"/>
              <w:right w:val="single" w:sz="4" w:space="0" w:color="auto"/>
            </w:tcBorders>
            <w:shd w:val="clear" w:color="auto" w:fill="auto"/>
            <w:hideMark/>
          </w:tcPr>
          <w:p w14:paraId="59B48E40"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xml:space="preserve">Surgery patients on beta-blocker therapy prior to admission who received a beta-blocker during the perioperative period. The perioperative period for the SCIP Cardiac measures is defined as 24 hours prior to surgical incision through discharge from post-anesthesia care/recovery </w:t>
            </w:r>
            <w:r w:rsidRPr="001461F7">
              <w:rPr>
                <w:rFonts w:asciiTheme="minorHAnsi" w:eastAsia="Times New Roman" w:hAnsiTheme="minorHAnsi" w:cs="Calibri"/>
                <w:sz w:val="18"/>
                <w:szCs w:val="18"/>
              </w:rPr>
              <w:lastRenderedPageBreak/>
              <w:t>area.</w:t>
            </w:r>
          </w:p>
        </w:tc>
        <w:tc>
          <w:tcPr>
            <w:tcW w:w="553" w:type="pct"/>
            <w:tcBorders>
              <w:top w:val="nil"/>
              <w:left w:val="nil"/>
              <w:bottom w:val="single" w:sz="4" w:space="0" w:color="auto"/>
              <w:right w:val="single" w:sz="4" w:space="0" w:color="auto"/>
            </w:tcBorders>
            <w:shd w:val="clear" w:color="auto" w:fill="auto"/>
            <w:hideMark/>
          </w:tcPr>
          <w:p w14:paraId="7EC2158C"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Health record</w:t>
            </w:r>
          </w:p>
        </w:tc>
        <w:tc>
          <w:tcPr>
            <w:tcW w:w="794" w:type="pct"/>
            <w:tcBorders>
              <w:top w:val="nil"/>
              <w:left w:val="nil"/>
              <w:bottom w:val="single" w:sz="4" w:space="0" w:color="auto"/>
              <w:right w:val="single" w:sz="4" w:space="0" w:color="auto"/>
            </w:tcBorders>
            <w:shd w:val="clear" w:color="auto" w:fill="auto"/>
            <w:noWrap/>
            <w:hideMark/>
          </w:tcPr>
          <w:p w14:paraId="76C19610" w14:textId="5F84572D" w:rsidR="00E05192" w:rsidRPr="001461F7" w:rsidRDefault="00CA3555" w:rsidP="00DC0E5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w:t>
            </w:r>
            <w:r w:rsidR="00E05192">
              <w:rPr>
                <w:rFonts w:asciiTheme="minorHAnsi" w:eastAsia="Times New Roman" w:hAnsiTheme="minorHAnsi" w:cs="Calibri"/>
                <w:sz w:val="18"/>
                <w:szCs w:val="18"/>
              </w:rPr>
              <w:t>/1/</w:t>
            </w:r>
            <w:r w:rsidR="00E05192" w:rsidRPr="001461F7">
              <w:rPr>
                <w:rFonts w:asciiTheme="minorHAnsi" w:eastAsia="Times New Roman" w:hAnsiTheme="minorHAnsi" w:cs="Calibri"/>
                <w:sz w:val="18"/>
                <w:szCs w:val="18"/>
              </w:rPr>
              <w:t>201</w:t>
            </w:r>
            <w:r w:rsidR="00E05192">
              <w:rPr>
                <w:rFonts w:asciiTheme="minorHAnsi" w:eastAsia="Times New Roman" w:hAnsiTheme="minorHAnsi" w:cs="Calibri"/>
                <w:sz w:val="18"/>
                <w:szCs w:val="18"/>
              </w:rPr>
              <w:t>1</w:t>
            </w:r>
          </w:p>
        </w:tc>
        <w:tc>
          <w:tcPr>
            <w:tcW w:w="973" w:type="pct"/>
            <w:tcBorders>
              <w:top w:val="nil"/>
              <w:left w:val="nil"/>
              <w:bottom w:val="single" w:sz="4" w:space="0" w:color="auto"/>
              <w:right w:val="single" w:sz="4" w:space="0" w:color="auto"/>
            </w:tcBorders>
            <w:shd w:val="clear" w:color="auto" w:fill="auto"/>
            <w:noWrap/>
            <w:hideMark/>
          </w:tcPr>
          <w:p w14:paraId="7BA6EDE7" w14:textId="4BD0E0E2" w:rsidR="00E05192" w:rsidRPr="001461F7" w:rsidRDefault="00CA3555" w:rsidP="00CA3555">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w:t>
            </w:r>
            <w:r w:rsidR="00E05192" w:rsidRPr="001461F7">
              <w:rPr>
                <w:rFonts w:asciiTheme="minorHAnsi" w:eastAsia="Times New Roman" w:hAnsiTheme="minorHAnsi" w:cs="Calibri"/>
                <w:sz w:val="18"/>
                <w:szCs w:val="18"/>
              </w:rPr>
              <w:t>/31/201</w:t>
            </w:r>
            <w:r>
              <w:rPr>
                <w:rFonts w:asciiTheme="minorHAnsi" w:eastAsia="Times New Roman" w:hAnsiTheme="minorHAnsi" w:cs="Calibri"/>
                <w:sz w:val="18"/>
                <w:szCs w:val="18"/>
              </w:rPr>
              <w:t>4</w:t>
            </w:r>
          </w:p>
        </w:tc>
      </w:tr>
      <w:tr w:rsidR="00E05192" w:rsidRPr="001461F7" w14:paraId="19D27555" w14:textId="77777777" w:rsidTr="006329F9">
        <w:trPr>
          <w:trHeight w:val="2040"/>
        </w:trPr>
        <w:tc>
          <w:tcPr>
            <w:tcW w:w="635" w:type="pct"/>
            <w:tcBorders>
              <w:top w:val="single" w:sz="4" w:space="0" w:color="auto"/>
              <w:left w:val="single" w:sz="4" w:space="0" w:color="auto"/>
              <w:bottom w:val="single" w:sz="4" w:space="0" w:color="auto"/>
              <w:right w:val="single" w:sz="4" w:space="0" w:color="auto"/>
            </w:tcBorders>
            <w:shd w:val="clear" w:color="auto" w:fill="auto"/>
          </w:tcPr>
          <w:p w14:paraId="31820187"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Surgical Care Improvement Project</w:t>
            </w:r>
          </w:p>
        </w:tc>
        <w:tc>
          <w:tcPr>
            <w:tcW w:w="826" w:type="pct"/>
            <w:tcBorders>
              <w:top w:val="single" w:sz="4" w:space="0" w:color="auto"/>
              <w:left w:val="nil"/>
              <w:bottom w:val="single" w:sz="4" w:space="0" w:color="auto"/>
              <w:right w:val="single" w:sz="4" w:space="0" w:color="auto"/>
            </w:tcBorders>
            <w:shd w:val="clear" w:color="auto" w:fill="auto"/>
          </w:tcPr>
          <w:p w14:paraId="63817434" w14:textId="77777777" w:rsidR="00E05192" w:rsidRPr="001461F7" w:rsidRDefault="00E05192"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Cardiac Surgery Patients with Controlled Postoperative Blood Glucose (SCIP-Inf-4)</w:t>
            </w:r>
          </w:p>
        </w:tc>
        <w:tc>
          <w:tcPr>
            <w:tcW w:w="1219" w:type="pct"/>
            <w:tcBorders>
              <w:top w:val="single" w:sz="4" w:space="0" w:color="auto"/>
              <w:left w:val="nil"/>
              <w:bottom w:val="single" w:sz="4" w:space="0" w:color="auto"/>
              <w:right w:val="single" w:sz="4" w:space="0" w:color="auto"/>
            </w:tcBorders>
            <w:shd w:val="clear" w:color="auto" w:fill="auto"/>
          </w:tcPr>
          <w:p w14:paraId="7853D8C3" w14:textId="77777777" w:rsidR="00E05192" w:rsidRPr="001461F7" w:rsidRDefault="00E05192" w:rsidP="00515CDF">
            <w:pPr>
              <w:spacing w:after="0" w:line="240" w:lineRule="auto"/>
              <w:rPr>
                <w:rFonts w:asciiTheme="minorHAnsi" w:eastAsia="Times New Roman" w:hAnsiTheme="minorHAnsi" w:cs="Calibri"/>
                <w:sz w:val="18"/>
                <w:szCs w:val="18"/>
              </w:rPr>
            </w:pPr>
            <w:r w:rsidRPr="007966AC">
              <w:rPr>
                <w:rFonts w:asciiTheme="minorHAnsi" w:eastAsia="Times New Roman" w:hAnsiTheme="minorHAnsi" w:cs="Calibri"/>
                <w:sz w:val="18"/>
                <w:szCs w:val="18"/>
              </w:rPr>
              <w:t>Cardiac surgery patients with controlled postoperative blood glucose (less than or equal to 180 mg/</w:t>
            </w:r>
            <w:proofErr w:type="spellStart"/>
            <w:r w:rsidRPr="007966AC">
              <w:rPr>
                <w:rFonts w:asciiTheme="minorHAnsi" w:eastAsia="Times New Roman" w:hAnsiTheme="minorHAnsi" w:cs="Calibri"/>
                <w:sz w:val="18"/>
                <w:szCs w:val="18"/>
              </w:rPr>
              <w:t>dL</w:t>
            </w:r>
            <w:proofErr w:type="spellEnd"/>
            <w:r w:rsidRPr="007966AC">
              <w:rPr>
                <w:rFonts w:asciiTheme="minorHAnsi" w:eastAsia="Times New Roman" w:hAnsiTheme="minorHAnsi" w:cs="Calibri"/>
                <w:sz w:val="18"/>
                <w:szCs w:val="18"/>
              </w:rPr>
              <w:t>) in the timeframe of 18 to 24 hours after Anesthesia End Time.</w:t>
            </w:r>
          </w:p>
        </w:tc>
        <w:tc>
          <w:tcPr>
            <w:tcW w:w="553" w:type="pct"/>
            <w:tcBorders>
              <w:top w:val="single" w:sz="4" w:space="0" w:color="auto"/>
              <w:left w:val="nil"/>
              <w:bottom w:val="single" w:sz="4" w:space="0" w:color="auto"/>
              <w:right w:val="single" w:sz="4" w:space="0" w:color="auto"/>
            </w:tcBorders>
            <w:shd w:val="clear" w:color="auto" w:fill="auto"/>
          </w:tcPr>
          <w:p w14:paraId="43AFA3EE" w14:textId="77777777" w:rsidR="00E05192" w:rsidRPr="001461F7" w:rsidRDefault="00E051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Health record</w:t>
            </w:r>
          </w:p>
        </w:tc>
        <w:tc>
          <w:tcPr>
            <w:tcW w:w="794" w:type="pct"/>
            <w:tcBorders>
              <w:top w:val="single" w:sz="4" w:space="0" w:color="auto"/>
              <w:left w:val="nil"/>
              <w:bottom w:val="single" w:sz="4" w:space="0" w:color="auto"/>
              <w:right w:val="single" w:sz="4" w:space="0" w:color="auto"/>
            </w:tcBorders>
            <w:shd w:val="clear" w:color="auto" w:fill="auto"/>
            <w:noWrap/>
          </w:tcPr>
          <w:p w14:paraId="4430BB4D" w14:textId="3B47167B" w:rsidR="00E05192" w:rsidRPr="001461F7" w:rsidRDefault="00E05192" w:rsidP="00DC0E5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4/1/</w:t>
            </w:r>
            <w:r w:rsidRPr="001461F7">
              <w:rPr>
                <w:rFonts w:asciiTheme="minorHAnsi" w:eastAsia="Times New Roman" w:hAnsiTheme="minorHAnsi" w:cs="Calibri"/>
                <w:sz w:val="18"/>
                <w:szCs w:val="18"/>
              </w:rPr>
              <w:t>201</w:t>
            </w:r>
            <w:r>
              <w:rPr>
                <w:rFonts w:asciiTheme="minorHAnsi" w:eastAsia="Times New Roman" w:hAnsiTheme="minorHAnsi" w:cs="Calibri"/>
                <w:sz w:val="18"/>
                <w:szCs w:val="18"/>
              </w:rPr>
              <w:t>1</w:t>
            </w:r>
          </w:p>
        </w:tc>
        <w:tc>
          <w:tcPr>
            <w:tcW w:w="973" w:type="pct"/>
            <w:tcBorders>
              <w:top w:val="single" w:sz="4" w:space="0" w:color="auto"/>
              <w:left w:val="nil"/>
              <w:bottom w:val="single" w:sz="4" w:space="0" w:color="auto"/>
              <w:right w:val="single" w:sz="4" w:space="0" w:color="auto"/>
            </w:tcBorders>
            <w:shd w:val="clear" w:color="auto" w:fill="auto"/>
            <w:noWrap/>
          </w:tcPr>
          <w:p w14:paraId="1C8E4AA6" w14:textId="2529D652" w:rsidR="00E05192" w:rsidRPr="001461F7" w:rsidRDefault="00E051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3</w:t>
            </w:r>
            <w:r w:rsidRPr="001461F7">
              <w:rPr>
                <w:rFonts w:asciiTheme="minorHAnsi" w:eastAsia="Times New Roman" w:hAnsiTheme="minorHAnsi" w:cs="Calibri"/>
                <w:sz w:val="18"/>
                <w:szCs w:val="18"/>
              </w:rPr>
              <w:t>/31/2013</w:t>
            </w:r>
          </w:p>
        </w:tc>
      </w:tr>
    </w:tbl>
    <w:p w14:paraId="0DE0991D" w14:textId="77777777" w:rsidR="004A50FD" w:rsidRDefault="004A50FD" w:rsidP="004A50FD">
      <w:pPr>
        <w:spacing w:before="200"/>
        <w:jc w:val="both"/>
        <w:rPr>
          <w:b/>
        </w:rPr>
      </w:pPr>
      <w:r>
        <w:rPr>
          <w:b/>
        </w:rPr>
        <w:t>Definition</w:t>
      </w:r>
      <w:r w:rsidRPr="00FB7DE8">
        <w:rPr>
          <w:b/>
        </w:rPr>
        <w:t xml:space="preserve">: </w:t>
      </w:r>
    </w:p>
    <w:p w14:paraId="5DC29BD1" w14:textId="6EA69F90" w:rsidR="004A50FD" w:rsidRDefault="004A50FD" w:rsidP="00B66C9F">
      <w:r>
        <w:t>All process measure scores</w:t>
      </w:r>
      <w:r w:rsidRPr="001461F7">
        <w:t xml:space="preserve"> were retrieved from CMS Hospital Compare as pre-calculated percentages. </w:t>
      </w:r>
      <w:r>
        <w:t>Where a hospital’s performance is not included on Hospital Compare because of small numbers, missing data, or because the measure does not apply, the measure is also not included in the report.</w:t>
      </w:r>
    </w:p>
    <w:p w14:paraId="13492A38" w14:textId="693DE25B" w:rsidR="004A50FD" w:rsidRPr="00F96069" w:rsidRDefault="004A50FD" w:rsidP="004A50FD">
      <w:pPr>
        <w:pStyle w:val="Heading2"/>
        <w:spacing w:after="200"/>
      </w:pPr>
      <w:bookmarkStart w:id="2" w:name="_Toc416877834"/>
      <w:r w:rsidRPr="00B73727">
        <w:t>Metrics</w:t>
      </w:r>
      <w:r>
        <w:t>: H</w:t>
      </w:r>
      <w:r w:rsidR="00C20328">
        <w:t>ealth Care</w:t>
      </w:r>
      <w:r>
        <w:t>-</w:t>
      </w:r>
      <w:r w:rsidR="00C20328">
        <w:t>Associated Infections</w:t>
      </w:r>
      <w:bookmarkEnd w:id="2"/>
      <w:r w:rsidR="00C20328">
        <w:t xml:space="preserve"> (HAI)</w:t>
      </w:r>
    </w:p>
    <w:p w14:paraId="78E55E76" w14:textId="77777777" w:rsidR="004A50FD" w:rsidRPr="00093D60" w:rsidRDefault="004A50FD" w:rsidP="004A50FD">
      <w:pPr>
        <w:tabs>
          <w:tab w:val="left" w:pos="7011"/>
        </w:tabs>
      </w:pPr>
      <w:r w:rsidRPr="00093D60">
        <w:rPr>
          <w:b/>
        </w:rPr>
        <w:t>Measure Steward:</w:t>
      </w:r>
      <w:r w:rsidRPr="00093D60">
        <w:t xml:space="preserve">  Centers for Medicare &amp; Medicaid Services </w:t>
      </w:r>
      <w:r>
        <w:tab/>
      </w:r>
    </w:p>
    <w:p w14:paraId="1265D6F2" w14:textId="77777777" w:rsidR="004A50FD" w:rsidRDefault="004A50FD" w:rsidP="004A50FD">
      <w:r w:rsidRPr="00093D60">
        <w:rPr>
          <w:b/>
        </w:rPr>
        <w:t xml:space="preserve">CHIA Data Source: </w:t>
      </w:r>
      <w:r w:rsidRPr="00093D60">
        <w:t>CMS Hospital Compare</w:t>
      </w:r>
    </w:p>
    <w:p w14:paraId="54827676" w14:textId="465B765F" w:rsidR="004A50FD" w:rsidRDefault="004A50FD">
      <w:r w:rsidRPr="00793375">
        <w:rPr>
          <w:b/>
        </w:rPr>
        <w:t>Populations:</w:t>
      </w:r>
      <w:r>
        <w:t xml:space="preserve"> All Payers, All Ages</w:t>
      </w:r>
    </w:p>
    <w:tbl>
      <w:tblPr>
        <w:tblW w:w="5000" w:type="pct"/>
        <w:tblLook w:val="04A0" w:firstRow="1" w:lastRow="0" w:firstColumn="1" w:lastColumn="0" w:noHBand="0" w:noVBand="1"/>
      </w:tblPr>
      <w:tblGrid>
        <w:gridCol w:w="1198"/>
        <w:gridCol w:w="1597"/>
        <w:gridCol w:w="2335"/>
        <w:gridCol w:w="1059"/>
        <w:gridCol w:w="1523"/>
        <w:gridCol w:w="23"/>
        <w:gridCol w:w="1841"/>
      </w:tblGrid>
      <w:tr w:rsidR="0000047F" w:rsidRPr="001461F7" w14:paraId="7A69AB32" w14:textId="77777777" w:rsidTr="0000047F">
        <w:trPr>
          <w:trHeight w:val="764"/>
          <w:tblHeader/>
        </w:trPr>
        <w:tc>
          <w:tcPr>
            <w:tcW w:w="626"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758EEEF6" w14:textId="77777777" w:rsidR="0000047F" w:rsidRPr="001461F7" w:rsidRDefault="0000047F" w:rsidP="0000047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834" w:type="pct"/>
            <w:tcBorders>
              <w:top w:val="single" w:sz="4" w:space="0" w:color="auto"/>
              <w:left w:val="nil"/>
              <w:bottom w:val="single" w:sz="4" w:space="0" w:color="auto"/>
              <w:right w:val="single" w:sz="4" w:space="0" w:color="auto"/>
            </w:tcBorders>
            <w:shd w:val="clear" w:color="000000" w:fill="538DD5"/>
            <w:vAlign w:val="center"/>
            <w:hideMark/>
          </w:tcPr>
          <w:p w14:paraId="077252C0" w14:textId="77777777" w:rsidR="0000047F" w:rsidRPr="001461F7" w:rsidRDefault="0000047F" w:rsidP="0000047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219" w:type="pct"/>
            <w:tcBorders>
              <w:top w:val="single" w:sz="4" w:space="0" w:color="auto"/>
              <w:left w:val="nil"/>
              <w:bottom w:val="single" w:sz="4" w:space="0" w:color="auto"/>
              <w:right w:val="single" w:sz="4" w:space="0" w:color="auto"/>
            </w:tcBorders>
            <w:shd w:val="clear" w:color="000000" w:fill="538DD5"/>
            <w:vAlign w:val="center"/>
            <w:hideMark/>
          </w:tcPr>
          <w:p w14:paraId="47DD3B22" w14:textId="77777777" w:rsidR="0000047F" w:rsidRPr="001461F7" w:rsidRDefault="0000047F" w:rsidP="0000047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553" w:type="pct"/>
            <w:tcBorders>
              <w:top w:val="single" w:sz="4" w:space="0" w:color="auto"/>
              <w:left w:val="nil"/>
              <w:bottom w:val="single" w:sz="4" w:space="0" w:color="auto"/>
              <w:right w:val="single" w:sz="4" w:space="0" w:color="auto"/>
            </w:tcBorders>
            <w:shd w:val="clear" w:color="000000" w:fill="538DD5"/>
            <w:vAlign w:val="center"/>
            <w:hideMark/>
          </w:tcPr>
          <w:p w14:paraId="0D3267B6" w14:textId="77777777" w:rsidR="0000047F" w:rsidRPr="00093D60" w:rsidRDefault="0000047F" w:rsidP="0000047F">
            <w:pPr>
              <w:spacing w:after="0" w:line="240" w:lineRule="auto"/>
              <w:jc w:val="center"/>
              <w:rPr>
                <w:rFonts w:asciiTheme="minorHAnsi" w:eastAsia="Times New Roman" w:hAnsiTheme="minorHAnsi" w:cs="Calibri"/>
                <w:b/>
                <w:bCs/>
                <w:color w:val="FFFFFF" w:themeColor="background1"/>
                <w:sz w:val="18"/>
                <w:szCs w:val="18"/>
              </w:rPr>
            </w:pPr>
            <w:r w:rsidRPr="00093D60">
              <w:rPr>
                <w:rFonts w:asciiTheme="minorHAnsi" w:eastAsia="Times New Roman" w:hAnsiTheme="minorHAnsi" w:cs="Calibri"/>
                <w:b/>
                <w:bCs/>
                <w:color w:val="FFFFFF" w:themeColor="background1"/>
                <w:sz w:val="18"/>
                <w:szCs w:val="18"/>
              </w:rPr>
              <w:t>Primary Data Source</w:t>
            </w:r>
          </w:p>
        </w:tc>
        <w:tc>
          <w:tcPr>
            <w:tcW w:w="795" w:type="pct"/>
            <w:tcBorders>
              <w:top w:val="single" w:sz="4" w:space="0" w:color="auto"/>
              <w:left w:val="nil"/>
              <w:bottom w:val="single" w:sz="4" w:space="0" w:color="auto"/>
              <w:right w:val="single" w:sz="4" w:space="0" w:color="auto"/>
            </w:tcBorders>
            <w:shd w:val="clear" w:color="000000" w:fill="538DD5"/>
            <w:vAlign w:val="center"/>
            <w:hideMark/>
          </w:tcPr>
          <w:p w14:paraId="61C17B38" w14:textId="77777777" w:rsidR="0000047F" w:rsidRPr="001461F7" w:rsidRDefault="0000047F" w:rsidP="0000047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973" w:type="pct"/>
            <w:gridSpan w:val="2"/>
            <w:tcBorders>
              <w:top w:val="single" w:sz="4" w:space="0" w:color="auto"/>
              <w:left w:val="nil"/>
              <w:bottom w:val="single" w:sz="4" w:space="0" w:color="auto"/>
              <w:right w:val="single" w:sz="4" w:space="0" w:color="auto"/>
            </w:tcBorders>
            <w:shd w:val="clear" w:color="000000" w:fill="538DD5"/>
            <w:vAlign w:val="center"/>
            <w:hideMark/>
          </w:tcPr>
          <w:p w14:paraId="56A105D5" w14:textId="77777777" w:rsidR="0000047F" w:rsidRPr="001461F7" w:rsidRDefault="0000047F" w:rsidP="0000047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4A50FD" w:rsidRPr="001461F7" w14:paraId="2C998B85" w14:textId="77777777" w:rsidTr="004D31EB">
        <w:trPr>
          <w:trHeight w:val="557"/>
        </w:trPr>
        <w:tc>
          <w:tcPr>
            <w:tcW w:w="626" w:type="pct"/>
            <w:tcBorders>
              <w:top w:val="single" w:sz="4" w:space="0" w:color="auto"/>
              <w:left w:val="single" w:sz="4" w:space="0" w:color="auto"/>
              <w:bottom w:val="single" w:sz="4" w:space="0" w:color="auto"/>
              <w:right w:val="single" w:sz="4" w:space="0" w:color="auto"/>
            </w:tcBorders>
            <w:shd w:val="clear" w:color="auto" w:fill="auto"/>
          </w:tcPr>
          <w:p w14:paraId="36394D44" w14:textId="1AB4B1B8" w:rsidR="004A50FD"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HAI</w:t>
            </w:r>
          </w:p>
        </w:tc>
        <w:tc>
          <w:tcPr>
            <w:tcW w:w="834" w:type="pct"/>
            <w:tcBorders>
              <w:top w:val="single" w:sz="4" w:space="0" w:color="auto"/>
              <w:left w:val="nil"/>
              <w:bottom w:val="single" w:sz="4" w:space="0" w:color="auto"/>
              <w:right w:val="single" w:sz="4" w:space="0" w:color="auto"/>
            </w:tcBorders>
            <w:shd w:val="clear" w:color="auto" w:fill="auto"/>
          </w:tcPr>
          <w:p w14:paraId="4F55F142" w14:textId="79DA8AAD" w:rsidR="004A50FD" w:rsidRDefault="004A50FD" w:rsidP="0000047F">
            <w:pPr>
              <w:spacing w:after="0" w:line="240" w:lineRule="auto"/>
              <w:rPr>
                <w:rFonts w:asciiTheme="minorHAnsi" w:eastAsia="Times New Roman" w:hAnsiTheme="minorHAnsi" w:cs="Calibri"/>
                <w:sz w:val="18"/>
                <w:szCs w:val="18"/>
              </w:rPr>
            </w:pPr>
            <w:r w:rsidRPr="006329F9">
              <w:rPr>
                <w:rFonts w:asciiTheme="minorHAnsi" w:eastAsia="Times New Roman" w:hAnsiTheme="minorHAnsi" w:cs="Calibri"/>
                <w:sz w:val="18"/>
                <w:szCs w:val="18"/>
              </w:rPr>
              <w:t>Catheter-Associated Urinary Tract Infections</w:t>
            </w:r>
          </w:p>
        </w:tc>
        <w:tc>
          <w:tcPr>
            <w:tcW w:w="1219" w:type="pct"/>
            <w:tcBorders>
              <w:top w:val="single" w:sz="4" w:space="0" w:color="auto"/>
              <w:left w:val="nil"/>
              <w:bottom w:val="single" w:sz="4" w:space="0" w:color="auto"/>
              <w:right w:val="single" w:sz="4" w:space="0" w:color="auto"/>
            </w:tcBorders>
            <w:shd w:val="clear" w:color="auto" w:fill="auto"/>
          </w:tcPr>
          <w:p w14:paraId="2F155CBA" w14:textId="0DE56648" w:rsidR="004A50FD" w:rsidRPr="007966AC" w:rsidRDefault="004D31EB" w:rsidP="0000047F">
            <w:pPr>
              <w:spacing w:after="0" w:line="240" w:lineRule="auto"/>
              <w:rPr>
                <w:rFonts w:asciiTheme="minorHAnsi" w:eastAsia="Times New Roman" w:hAnsiTheme="minorHAnsi" w:cs="Calibri"/>
                <w:sz w:val="18"/>
                <w:szCs w:val="18"/>
              </w:rPr>
            </w:pPr>
            <w:r w:rsidRPr="00BE170B">
              <w:rPr>
                <w:rFonts w:asciiTheme="minorHAnsi" w:eastAsia="Times New Roman" w:hAnsiTheme="minorHAnsi" w:cs="Calibri"/>
                <w:sz w:val="18"/>
                <w:szCs w:val="18"/>
              </w:rPr>
              <w:t>Standardized Infection Ratio (SIR) of healthcare-associated, catheter-associated urinary tract infections (UTI) will be calculated among patients in bedded inpatient care locations, except level II or level III neonatal intensive care units (NICU. </w:t>
            </w:r>
          </w:p>
        </w:tc>
        <w:tc>
          <w:tcPr>
            <w:tcW w:w="553" w:type="pct"/>
            <w:tcBorders>
              <w:top w:val="single" w:sz="4" w:space="0" w:color="auto"/>
              <w:left w:val="nil"/>
              <w:bottom w:val="single" w:sz="4" w:space="0" w:color="auto"/>
              <w:right w:val="single" w:sz="4" w:space="0" w:color="auto"/>
            </w:tcBorders>
            <w:shd w:val="clear" w:color="auto" w:fill="auto"/>
          </w:tcPr>
          <w:p w14:paraId="619306B0" w14:textId="6EE6D41D" w:rsidR="004A50FD"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Health record</w:t>
            </w:r>
          </w:p>
        </w:tc>
        <w:tc>
          <w:tcPr>
            <w:tcW w:w="807" w:type="pct"/>
            <w:gridSpan w:val="2"/>
            <w:tcBorders>
              <w:top w:val="single" w:sz="4" w:space="0" w:color="auto"/>
              <w:left w:val="nil"/>
              <w:bottom w:val="single" w:sz="4" w:space="0" w:color="auto"/>
              <w:right w:val="single" w:sz="4" w:space="0" w:color="auto"/>
            </w:tcBorders>
            <w:shd w:val="clear" w:color="auto" w:fill="auto"/>
            <w:noWrap/>
          </w:tcPr>
          <w:p w14:paraId="607473D7" w14:textId="1D049BC7" w:rsidR="004A50FD" w:rsidRDefault="004A50FD" w:rsidP="004D31E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w:t>
            </w:r>
            <w:r w:rsidR="004D31EB">
              <w:rPr>
                <w:rFonts w:asciiTheme="minorHAnsi" w:eastAsia="Times New Roman" w:hAnsiTheme="minorHAnsi" w:cs="Calibri"/>
                <w:sz w:val="18"/>
                <w:szCs w:val="18"/>
              </w:rPr>
              <w:t>3</w:t>
            </w:r>
          </w:p>
        </w:tc>
        <w:tc>
          <w:tcPr>
            <w:tcW w:w="961" w:type="pct"/>
            <w:tcBorders>
              <w:top w:val="single" w:sz="4" w:space="0" w:color="auto"/>
              <w:left w:val="nil"/>
              <w:bottom w:val="single" w:sz="4" w:space="0" w:color="auto"/>
              <w:right w:val="single" w:sz="4" w:space="0" w:color="auto"/>
            </w:tcBorders>
            <w:shd w:val="clear" w:color="auto" w:fill="auto"/>
            <w:noWrap/>
          </w:tcPr>
          <w:p w14:paraId="6E8CDA24" w14:textId="3B4C9552" w:rsidR="004A50FD" w:rsidRDefault="004A50FD" w:rsidP="0000047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12/31/</w:t>
            </w:r>
            <w:r w:rsidRPr="004A50FD">
              <w:rPr>
                <w:rFonts w:asciiTheme="minorHAnsi" w:eastAsia="Times New Roman" w:hAnsiTheme="minorHAnsi" w:cs="Calibri"/>
                <w:sz w:val="18"/>
                <w:szCs w:val="18"/>
              </w:rPr>
              <w:t>2013</w:t>
            </w:r>
          </w:p>
        </w:tc>
      </w:tr>
      <w:tr w:rsidR="004A50FD" w:rsidRPr="001461F7" w14:paraId="2BA315B7" w14:textId="77777777" w:rsidTr="0000047F">
        <w:trPr>
          <w:trHeight w:val="1070"/>
        </w:trPr>
        <w:tc>
          <w:tcPr>
            <w:tcW w:w="626" w:type="pct"/>
            <w:tcBorders>
              <w:top w:val="single" w:sz="4" w:space="0" w:color="auto"/>
              <w:left w:val="single" w:sz="4" w:space="0" w:color="auto"/>
              <w:bottom w:val="single" w:sz="4" w:space="0" w:color="auto"/>
              <w:right w:val="single" w:sz="4" w:space="0" w:color="auto"/>
            </w:tcBorders>
            <w:shd w:val="clear" w:color="auto" w:fill="auto"/>
          </w:tcPr>
          <w:p w14:paraId="10B515D1" w14:textId="63428496" w:rsidR="004A50FD"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HAI</w:t>
            </w:r>
          </w:p>
        </w:tc>
        <w:tc>
          <w:tcPr>
            <w:tcW w:w="834" w:type="pct"/>
            <w:tcBorders>
              <w:top w:val="single" w:sz="4" w:space="0" w:color="auto"/>
              <w:left w:val="nil"/>
              <w:bottom w:val="single" w:sz="4" w:space="0" w:color="auto"/>
              <w:right w:val="single" w:sz="4" w:space="0" w:color="auto"/>
            </w:tcBorders>
            <w:shd w:val="clear" w:color="auto" w:fill="auto"/>
          </w:tcPr>
          <w:p w14:paraId="0E12B072" w14:textId="777A153D" w:rsidR="004A50FD" w:rsidRDefault="004A50FD" w:rsidP="0000047F">
            <w:pPr>
              <w:spacing w:after="0" w:line="240" w:lineRule="auto"/>
              <w:rPr>
                <w:rFonts w:asciiTheme="minorHAnsi" w:eastAsia="Times New Roman" w:hAnsiTheme="minorHAnsi" w:cs="Calibri"/>
                <w:sz w:val="18"/>
                <w:szCs w:val="18"/>
              </w:rPr>
            </w:pPr>
            <w:r w:rsidRPr="006329F9">
              <w:rPr>
                <w:rFonts w:asciiTheme="minorHAnsi" w:eastAsia="Times New Roman" w:hAnsiTheme="minorHAnsi" w:cs="Calibri"/>
                <w:sz w:val="18"/>
                <w:szCs w:val="18"/>
              </w:rPr>
              <w:t>Central-Line Associated Bloodstream Infection</w:t>
            </w:r>
          </w:p>
        </w:tc>
        <w:tc>
          <w:tcPr>
            <w:tcW w:w="1219" w:type="pct"/>
            <w:tcBorders>
              <w:top w:val="single" w:sz="4" w:space="0" w:color="auto"/>
              <w:left w:val="nil"/>
              <w:bottom w:val="single" w:sz="4" w:space="0" w:color="auto"/>
              <w:right w:val="single" w:sz="4" w:space="0" w:color="auto"/>
            </w:tcBorders>
            <w:shd w:val="clear" w:color="auto" w:fill="auto"/>
          </w:tcPr>
          <w:p w14:paraId="7E07BDC2" w14:textId="5CA1683D" w:rsidR="004A50FD" w:rsidRPr="007966AC" w:rsidRDefault="004D31EB" w:rsidP="0000047F">
            <w:pPr>
              <w:spacing w:after="0" w:line="240" w:lineRule="auto"/>
              <w:rPr>
                <w:rFonts w:asciiTheme="minorHAnsi" w:eastAsia="Times New Roman" w:hAnsiTheme="minorHAnsi" w:cs="Calibri"/>
                <w:sz w:val="18"/>
                <w:szCs w:val="18"/>
              </w:rPr>
            </w:pPr>
            <w:r w:rsidRPr="00BE170B">
              <w:rPr>
                <w:rFonts w:asciiTheme="minorHAnsi" w:eastAsia="Times New Roman" w:hAnsiTheme="minorHAnsi" w:cs="Calibri"/>
                <w:sz w:val="18"/>
                <w:szCs w:val="18"/>
              </w:rPr>
              <w:t xml:space="preserve">Standardized Infection Ratio (SIR) of healthcare-associated, central line-associated bloodstream infections (CLABSI) will be </w:t>
            </w:r>
            <w:r w:rsidRPr="00BE170B">
              <w:rPr>
                <w:rFonts w:asciiTheme="minorHAnsi" w:eastAsia="Times New Roman" w:hAnsiTheme="minorHAnsi" w:cs="Calibri"/>
                <w:sz w:val="18"/>
                <w:szCs w:val="18"/>
              </w:rPr>
              <w:lastRenderedPageBreak/>
              <w:t>calculated among patients in bedded inpatient care locations.</w:t>
            </w:r>
          </w:p>
        </w:tc>
        <w:tc>
          <w:tcPr>
            <w:tcW w:w="553" w:type="pct"/>
            <w:tcBorders>
              <w:top w:val="single" w:sz="4" w:space="0" w:color="auto"/>
              <w:left w:val="nil"/>
              <w:bottom w:val="single" w:sz="4" w:space="0" w:color="auto"/>
              <w:right w:val="single" w:sz="4" w:space="0" w:color="auto"/>
            </w:tcBorders>
            <w:shd w:val="clear" w:color="auto" w:fill="auto"/>
          </w:tcPr>
          <w:p w14:paraId="0A07AC19" w14:textId="79F086AB" w:rsidR="004A50FD"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lastRenderedPageBreak/>
              <w:t>Health record</w:t>
            </w:r>
          </w:p>
        </w:tc>
        <w:tc>
          <w:tcPr>
            <w:tcW w:w="807" w:type="pct"/>
            <w:gridSpan w:val="2"/>
            <w:tcBorders>
              <w:top w:val="single" w:sz="4" w:space="0" w:color="auto"/>
              <w:left w:val="nil"/>
              <w:bottom w:val="single" w:sz="4" w:space="0" w:color="auto"/>
              <w:right w:val="single" w:sz="4" w:space="0" w:color="auto"/>
            </w:tcBorders>
            <w:shd w:val="clear" w:color="auto" w:fill="auto"/>
            <w:noWrap/>
          </w:tcPr>
          <w:p w14:paraId="6361EEDB" w14:textId="2091F6C5" w:rsidR="004A50FD" w:rsidRDefault="004A50FD" w:rsidP="004D31E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w:t>
            </w:r>
            <w:r w:rsidR="004D31EB">
              <w:rPr>
                <w:rFonts w:asciiTheme="minorHAnsi" w:eastAsia="Times New Roman" w:hAnsiTheme="minorHAnsi" w:cs="Calibri"/>
                <w:sz w:val="18"/>
                <w:szCs w:val="18"/>
              </w:rPr>
              <w:t>3</w:t>
            </w:r>
          </w:p>
        </w:tc>
        <w:tc>
          <w:tcPr>
            <w:tcW w:w="961" w:type="pct"/>
            <w:tcBorders>
              <w:top w:val="single" w:sz="4" w:space="0" w:color="auto"/>
              <w:left w:val="nil"/>
              <w:bottom w:val="single" w:sz="4" w:space="0" w:color="auto"/>
              <w:right w:val="single" w:sz="4" w:space="0" w:color="auto"/>
            </w:tcBorders>
            <w:shd w:val="clear" w:color="auto" w:fill="auto"/>
            <w:noWrap/>
          </w:tcPr>
          <w:p w14:paraId="3F15351B" w14:textId="1386FB4A" w:rsidR="004A50FD" w:rsidRDefault="004A50FD" w:rsidP="0000047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12/31/</w:t>
            </w:r>
            <w:r w:rsidRPr="004A50FD">
              <w:rPr>
                <w:rFonts w:asciiTheme="minorHAnsi" w:eastAsia="Times New Roman" w:hAnsiTheme="minorHAnsi" w:cs="Calibri"/>
                <w:sz w:val="18"/>
                <w:szCs w:val="18"/>
              </w:rPr>
              <w:t>2013</w:t>
            </w:r>
          </w:p>
        </w:tc>
      </w:tr>
      <w:tr w:rsidR="004A50FD" w:rsidRPr="001461F7" w14:paraId="6C68EA66" w14:textId="77777777" w:rsidTr="0000047F">
        <w:trPr>
          <w:trHeight w:val="818"/>
        </w:trPr>
        <w:tc>
          <w:tcPr>
            <w:tcW w:w="626" w:type="pct"/>
            <w:tcBorders>
              <w:top w:val="single" w:sz="4" w:space="0" w:color="auto"/>
              <w:left w:val="single" w:sz="4" w:space="0" w:color="auto"/>
              <w:bottom w:val="single" w:sz="4" w:space="0" w:color="auto"/>
              <w:right w:val="single" w:sz="4" w:space="0" w:color="auto"/>
            </w:tcBorders>
            <w:shd w:val="clear" w:color="auto" w:fill="auto"/>
          </w:tcPr>
          <w:p w14:paraId="2A84DD35" w14:textId="085BF65F" w:rsidR="004A50FD"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lastRenderedPageBreak/>
              <w:t>HAI</w:t>
            </w:r>
          </w:p>
        </w:tc>
        <w:tc>
          <w:tcPr>
            <w:tcW w:w="834" w:type="pct"/>
            <w:tcBorders>
              <w:top w:val="single" w:sz="4" w:space="0" w:color="auto"/>
              <w:left w:val="nil"/>
              <w:bottom w:val="single" w:sz="4" w:space="0" w:color="auto"/>
              <w:right w:val="single" w:sz="4" w:space="0" w:color="auto"/>
            </w:tcBorders>
            <w:shd w:val="clear" w:color="auto" w:fill="auto"/>
          </w:tcPr>
          <w:p w14:paraId="4626F7EB" w14:textId="54FBD920" w:rsidR="004A50FD" w:rsidRDefault="004A50FD" w:rsidP="0000047F">
            <w:pPr>
              <w:spacing w:after="0" w:line="240" w:lineRule="auto"/>
              <w:rPr>
                <w:rFonts w:asciiTheme="minorHAnsi" w:eastAsia="Times New Roman" w:hAnsiTheme="minorHAnsi" w:cs="Calibri"/>
                <w:sz w:val="18"/>
                <w:szCs w:val="18"/>
              </w:rPr>
            </w:pPr>
            <w:r w:rsidRPr="006329F9">
              <w:rPr>
                <w:rFonts w:asciiTheme="minorHAnsi" w:eastAsia="Times New Roman" w:hAnsiTheme="minorHAnsi" w:cs="Calibri"/>
                <w:sz w:val="18"/>
                <w:szCs w:val="18"/>
              </w:rPr>
              <w:t xml:space="preserve">Hospital-onset </w:t>
            </w:r>
            <w:r w:rsidRPr="006329F9">
              <w:rPr>
                <w:rFonts w:asciiTheme="minorHAnsi" w:eastAsia="Times New Roman" w:hAnsiTheme="minorHAnsi" w:cs="Calibri"/>
                <w:i/>
                <w:sz w:val="18"/>
                <w:szCs w:val="18"/>
              </w:rPr>
              <w:t>C. difficile</w:t>
            </w:r>
          </w:p>
        </w:tc>
        <w:tc>
          <w:tcPr>
            <w:tcW w:w="1219" w:type="pct"/>
            <w:tcBorders>
              <w:top w:val="single" w:sz="4" w:space="0" w:color="auto"/>
              <w:left w:val="nil"/>
              <w:bottom w:val="single" w:sz="4" w:space="0" w:color="auto"/>
              <w:right w:val="single" w:sz="4" w:space="0" w:color="auto"/>
            </w:tcBorders>
            <w:shd w:val="clear" w:color="auto" w:fill="auto"/>
          </w:tcPr>
          <w:p w14:paraId="6001DF04" w14:textId="7B99F3B8" w:rsidR="004A50FD" w:rsidRPr="007966AC" w:rsidRDefault="004D31EB" w:rsidP="0000047F">
            <w:pPr>
              <w:spacing w:after="0" w:line="240" w:lineRule="auto"/>
              <w:rPr>
                <w:rFonts w:asciiTheme="minorHAnsi" w:eastAsia="Times New Roman" w:hAnsiTheme="minorHAnsi" w:cs="Calibri"/>
                <w:sz w:val="18"/>
                <w:szCs w:val="18"/>
              </w:rPr>
            </w:pPr>
            <w:r w:rsidRPr="00BE170B">
              <w:rPr>
                <w:rFonts w:asciiTheme="minorHAnsi" w:eastAsia="Times New Roman" w:hAnsiTheme="minorHAnsi" w:cs="Calibri"/>
                <w:sz w:val="18"/>
                <w:szCs w:val="18"/>
              </w:rPr>
              <w:t>Standardized infection ratio (SIR) of hospital-onset CDI Laboratory-identified events (</w:t>
            </w:r>
            <w:proofErr w:type="spellStart"/>
            <w:r w:rsidRPr="00BE170B">
              <w:rPr>
                <w:rFonts w:asciiTheme="minorHAnsi" w:eastAsia="Times New Roman" w:hAnsiTheme="minorHAnsi" w:cs="Calibri"/>
                <w:sz w:val="18"/>
                <w:szCs w:val="18"/>
              </w:rPr>
              <w:t>LabID</w:t>
            </w:r>
            <w:proofErr w:type="spellEnd"/>
            <w:r w:rsidRPr="00BE170B">
              <w:rPr>
                <w:rFonts w:asciiTheme="minorHAnsi" w:eastAsia="Times New Roman" w:hAnsiTheme="minorHAnsi" w:cs="Calibri"/>
                <w:sz w:val="18"/>
                <w:szCs w:val="18"/>
              </w:rPr>
              <w:t xml:space="preserve"> events) among all inpatients in the facility, excluding well-baby nurseries and neonatal intensive care units (NICUs)</w:t>
            </w:r>
          </w:p>
        </w:tc>
        <w:tc>
          <w:tcPr>
            <w:tcW w:w="553" w:type="pct"/>
            <w:tcBorders>
              <w:top w:val="single" w:sz="4" w:space="0" w:color="auto"/>
              <w:left w:val="nil"/>
              <w:bottom w:val="single" w:sz="4" w:space="0" w:color="auto"/>
              <w:right w:val="single" w:sz="4" w:space="0" w:color="auto"/>
            </w:tcBorders>
            <w:shd w:val="clear" w:color="auto" w:fill="auto"/>
          </w:tcPr>
          <w:p w14:paraId="42D584D4" w14:textId="1B6B36CC" w:rsidR="004A50FD"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Health record</w:t>
            </w:r>
          </w:p>
        </w:tc>
        <w:tc>
          <w:tcPr>
            <w:tcW w:w="807" w:type="pct"/>
            <w:gridSpan w:val="2"/>
            <w:tcBorders>
              <w:top w:val="single" w:sz="4" w:space="0" w:color="auto"/>
              <w:left w:val="nil"/>
              <w:bottom w:val="single" w:sz="4" w:space="0" w:color="auto"/>
              <w:right w:val="single" w:sz="4" w:space="0" w:color="auto"/>
            </w:tcBorders>
            <w:shd w:val="clear" w:color="auto" w:fill="auto"/>
            <w:noWrap/>
          </w:tcPr>
          <w:p w14:paraId="145593D5" w14:textId="4A9EBF33" w:rsidR="004A50FD" w:rsidRDefault="00B66C9F" w:rsidP="0000047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1/1/2013</w:t>
            </w:r>
          </w:p>
        </w:tc>
        <w:tc>
          <w:tcPr>
            <w:tcW w:w="961" w:type="pct"/>
            <w:tcBorders>
              <w:top w:val="single" w:sz="4" w:space="0" w:color="auto"/>
              <w:left w:val="nil"/>
              <w:bottom w:val="single" w:sz="4" w:space="0" w:color="auto"/>
              <w:right w:val="single" w:sz="4" w:space="0" w:color="auto"/>
            </w:tcBorders>
            <w:shd w:val="clear" w:color="auto" w:fill="auto"/>
            <w:noWrap/>
          </w:tcPr>
          <w:p w14:paraId="32150B8D" w14:textId="599EA8FE" w:rsidR="004A50FD" w:rsidRDefault="00B66C9F" w:rsidP="0000047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12/31/2013</w:t>
            </w:r>
          </w:p>
        </w:tc>
      </w:tr>
      <w:tr w:rsidR="005A12CF" w:rsidRPr="001461F7" w14:paraId="538175D6" w14:textId="77777777" w:rsidTr="0000047F">
        <w:trPr>
          <w:trHeight w:val="818"/>
        </w:trPr>
        <w:tc>
          <w:tcPr>
            <w:tcW w:w="626" w:type="pct"/>
            <w:tcBorders>
              <w:top w:val="single" w:sz="4" w:space="0" w:color="auto"/>
              <w:left w:val="single" w:sz="4" w:space="0" w:color="auto"/>
              <w:bottom w:val="single" w:sz="4" w:space="0" w:color="auto"/>
              <w:right w:val="single" w:sz="4" w:space="0" w:color="auto"/>
            </w:tcBorders>
            <w:shd w:val="clear" w:color="auto" w:fill="auto"/>
          </w:tcPr>
          <w:p w14:paraId="1E312B65" w14:textId="4B075568" w:rsidR="005A12CF"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HAI</w:t>
            </w:r>
          </w:p>
        </w:tc>
        <w:tc>
          <w:tcPr>
            <w:tcW w:w="834" w:type="pct"/>
            <w:tcBorders>
              <w:top w:val="single" w:sz="4" w:space="0" w:color="auto"/>
              <w:left w:val="nil"/>
              <w:bottom w:val="single" w:sz="4" w:space="0" w:color="auto"/>
              <w:right w:val="single" w:sz="4" w:space="0" w:color="auto"/>
            </w:tcBorders>
            <w:shd w:val="clear" w:color="auto" w:fill="auto"/>
          </w:tcPr>
          <w:p w14:paraId="5F5A7EC2" w14:textId="28927D5E" w:rsidR="005A12CF" w:rsidRPr="006329F9" w:rsidRDefault="005A12CF"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Hospital-onset MRSA</w:t>
            </w:r>
          </w:p>
        </w:tc>
        <w:tc>
          <w:tcPr>
            <w:tcW w:w="1219" w:type="pct"/>
            <w:tcBorders>
              <w:top w:val="single" w:sz="4" w:space="0" w:color="auto"/>
              <w:left w:val="nil"/>
              <w:bottom w:val="single" w:sz="4" w:space="0" w:color="auto"/>
              <w:right w:val="single" w:sz="4" w:space="0" w:color="auto"/>
            </w:tcBorders>
            <w:shd w:val="clear" w:color="auto" w:fill="auto"/>
          </w:tcPr>
          <w:p w14:paraId="2DBDB3BE" w14:textId="41690AAD" w:rsidR="005A12CF" w:rsidRPr="007966AC" w:rsidRDefault="004D31EB" w:rsidP="0000047F">
            <w:pPr>
              <w:spacing w:after="0" w:line="240" w:lineRule="auto"/>
              <w:rPr>
                <w:rFonts w:asciiTheme="minorHAnsi" w:eastAsia="Times New Roman" w:hAnsiTheme="minorHAnsi" w:cs="Calibri"/>
                <w:sz w:val="18"/>
                <w:szCs w:val="18"/>
              </w:rPr>
            </w:pPr>
            <w:r w:rsidRPr="00BE170B">
              <w:rPr>
                <w:rFonts w:asciiTheme="minorHAnsi" w:eastAsia="Times New Roman" w:hAnsiTheme="minorHAnsi" w:cs="Calibri"/>
                <w:sz w:val="18"/>
                <w:szCs w:val="18"/>
              </w:rPr>
              <w:t>Standardized infection ratio (SIR) of hospital-onset unique blood source MRSA Laboratory-identified events (</w:t>
            </w:r>
            <w:proofErr w:type="spellStart"/>
            <w:r w:rsidRPr="00BE170B">
              <w:rPr>
                <w:rFonts w:asciiTheme="minorHAnsi" w:eastAsia="Times New Roman" w:hAnsiTheme="minorHAnsi" w:cs="Calibri"/>
                <w:sz w:val="18"/>
                <w:szCs w:val="18"/>
              </w:rPr>
              <w:t>LabID</w:t>
            </w:r>
            <w:proofErr w:type="spellEnd"/>
            <w:r w:rsidRPr="00BE170B">
              <w:rPr>
                <w:rFonts w:asciiTheme="minorHAnsi" w:eastAsia="Times New Roman" w:hAnsiTheme="minorHAnsi" w:cs="Calibri"/>
                <w:sz w:val="18"/>
                <w:szCs w:val="18"/>
              </w:rPr>
              <w:t xml:space="preserve"> events) among all inpatients in the facility</w:t>
            </w:r>
          </w:p>
        </w:tc>
        <w:tc>
          <w:tcPr>
            <w:tcW w:w="553" w:type="pct"/>
            <w:tcBorders>
              <w:top w:val="single" w:sz="4" w:space="0" w:color="auto"/>
              <w:left w:val="nil"/>
              <w:bottom w:val="single" w:sz="4" w:space="0" w:color="auto"/>
              <w:right w:val="single" w:sz="4" w:space="0" w:color="auto"/>
            </w:tcBorders>
            <w:shd w:val="clear" w:color="auto" w:fill="auto"/>
          </w:tcPr>
          <w:p w14:paraId="61A53CA4" w14:textId="7B220081" w:rsidR="005A12CF" w:rsidRPr="001461F7" w:rsidRDefault="004D31EB"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Health record</w:t>
            </w:r>
          </w:p>
        </w:tc>
        <w:tc>
          <w:tcPr>
            <w:tcW w:w="807" w:type="pct"/>
            <w:gridSpan w:val="2"/>
            <w:tcBorders>
              <w:top w:val="single" w:sz="4" w:space="0" w:color="auto"/>
              <w:left w:val="nil"/>
              <w:bottom w:val="single" w:sz="4" w:space="0" w:color="auto"/>
              <w:right w:val="single" w:sz="4" w:space="0" w:color="auto"/>
            </w:tcBorders>
            <w:shd w:val="clear" w:color="auto" w:fill="auto"/>
            <w:noWrap/>
          </w:tcPr>
          <w:p w14:paraId="1B143766" w14:textId="3D509287" w:rsidR="005A12CF" w:rsidRDefault="005A12CF" w:rsidP="0000047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1/1/2013</w:t>
            </w:r>
          </w:p>
        </w:tc>
        <w:tc>
          <w:tcPr>
            <w:tcW w:w="961" w:type="pct"/>
            <w:tcBorders>
              <w:top w:val="single" w:sz="4" w:space="0" w:color="auto"/>
              <w:left w:val="nil"/>
              <w:bottom w:val="single" w:sz="4" w:space="0" w:color="auto"/>
              <w:right w:val="single" w:sz="4" w:space="0" w:color="auto"/>
            </w:tcBorders>
            <w:shd w:val="clear" w:color="auto" w:fill="auto"/>
            <w:noWrap/>
          </w:tcPr>
          <w:p w14:paraId="719DF308" w14:textId="57120ED9" w:rsidR="005A12CF" w:rsidRDefault="005A12CF" w:rsidP="0000047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12/31/2013</w:t>
            </w:r>
          </w:p>
        </w:tc>
      </w:tr>
      <w:tr w:rsidR="005A12CF" w:rsidRPr="001461F7" w14:paraId="33B0B78D" w14:textId="77777777" w:rsidTr="00C20328">
        <w:trPr>
          <w:trHeight w:val="287"/>
        </w:trPr>
        <w:tc>
          <w:tcPr>
            <w:tcW w:w="626" w:type="pct"/>
            <w:tcBorders>
              <w:top w:val="single" w:sz="4" w:space="0" w:color="auto"/>
              <w:left w:val="single" w:sz="4" w:space="0" w:color="auto"/>
              <w:bottom w:val="single" w:sz="4" w:space="0" w:color="auto"/>
              <w:right w:val="single" w:sz="4" w:space="0" w:color="auto"/>
            </w:tcBorders>
            <w:shd w:val="clear" w:color="auto" w:fill="auto"/>
          </w:tcPr>
          <w:p w14:paraId="3E00A84C" w14:textId="736447C7" w:rsidR="005A12CF" w:rsidRPr="001461F7" w:rsidRDefault="004D31EB"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HAI</w:t>
            </w:r>
          </w:p>
        </w:tc>
        <w:tc>
          <w:tcPr>
            <w:tcW w:w="834" w:type="pct"/>
            <w:tcBorders>
              <w:top w:val="single" w:sz="4" w:space="0" w:color="auto"/>
              <w:left w:val="nil"/>
              <w:bottom w:val="single" w:sz="4" w:space="0" w:color="auto"/>
              <w:right w:val="single" w:sz="4" w:space="0" w:color="auto"/>
            </w:tcBorders>
            <w:shd w:val="clear" w:color="auto" w:fill="auto"/>
          </w:tcPr>
          <w:p w14:paraId="3A454094" w14:textId="5399BF0A" w:rsidR="005A12CF" w:rsidRDefault="005A12CF" w:rsidP="00515CDF">
            <w:pPr>
              <w:spacing w:after="0" w:line="240" w:lineRule="auto"/>
              <w:rPr>
                <w:rFonts w:asciiTheme="minorHAnsi" w:eastAsia="Times New Roman" w:hAnsiTheme="minorHAnsi" w:cs="Calibri"/>
                <w:sz w:val="18"/>
                <w:szCs w:val="18"/>
              </w:rPr>
            </w:pPr>
            <w:r w:rsidRPr="006329F9">
              <w:rPr>
                <w:rFonts w:asciiTheme="minorHAnsi" w:eastAsia="Times New Roman" w:hAnsiTheme="minorHAnsi" w:cs="Calibri"/>
                <w:sz w:val="18"/>
                <w:szCs w:val="18"/>
              </w:rPr>
              <w:t>SSI Surgical Site Infection: SSI colon, SSI-abdominal hysterectomy</w:t>
            </w:r>
          </w:p>
        </w:tc>
        <w:tc>
          <w:tcPr>
            <w:tcW w:w="1219" w:type="pct"/>
            <w:tcBorders>
              <w:top w:val="single" w:sz="4" w:space="0" w:color="auto"/>
              <w:left w:val="nil"/>
              <w:bottom w:val="single" w:sz="4" w:space="0" w:color="auto"/>
              <w:right w:val="single" w:sz="4" w:space="0" w:color="auto"/>
            </w:tcBorders>
            <w:shd w:val="clear" w:color="auto" w:fill="auto"/>
          </w:tcPr>
          <w:p w14:paraId="0DCB46DC" w14:textId="0F172526" w:rsidR="005A12CF" w:rsidRPr="00C20328" w:rsidRDefault="00C20328" w:rsidP="00C20328">
            <w:r w:rsidRPr="00C20328">
              <w:rPr>
                <w:rFonts w:asciiTheme="minorHAnsi" w:eastAsia="Times New Roman" w:hAnsiTheme="minorHAnsi" w:cs="Calibri"/>
                <w:sz w:val="18"/>
                <w:szCs w:val="18"/>
              </w:rPr>
              <w:t>Facility adjusted Standardized Infection Ratio (SIR) of deep incisional and organ/space Surgical Site Infections (SSI) at the primary incision site among adult patients aged &gt;= 18 years as reported through the CDC National Health and Safety Network (NHSN). This single prototype measure is applied to two operative procedures, colon surgeries and abdominal hysterectomies, and the measure yields separate SIRs for each procedure.</w:t>
            </w:r>
          </w:p>
        </w:tc>
        <w:tc>
          <w:tcPr>
            <w:tcW w:w="553" w:type="pct"/>
            <w:tcBorders>
              <w:top w:val="single" w:sz="4" w:space="0" w:color="auto"/>
              <w:left w:val="nil"/>
              <w:bottom w:val="single" w:sz="4" w:space="0" w:color="auto"/>
              <w:right w:val="single" w:sz="4" w:space="0" w:color="auto"/>
            </w:tcBorders>
            <w:shd w:val="clear" w:color="auto" w:fill="auto"/>
          </w:tcPr>
          <w:p w14:paraId="4A6A1846" w14:textId="627A513E" w:rsidR="005A12CF" w:rsidRPr="001461F7" w:rsidRDefault="004D31EB"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Health record</w:t>
            </w:r>
          </w:p>
        </w:tc>
        <w:tc>
          <w:tcPr>
            <w:tcW w:w="807" w:type="pct"/>
            <w:gridSpan w:val="2"/>
            <w:tcBorders>
              <w:top w:val="single" w:sz="4" w:space="0" w:color="auto"/>
              <w:left w:val="nil"/>
              <w:bottom w:val="single" w:sz="4" w:space="0" w:color="auto"/>
              <w:right w:val="single" w:sz="4" w:space="0" w:color="auto"/>
            </w:tcBorders>
            <w:shd w:val="clear" w:color="auto" w:fill="auto"/>
            <w:noWrap/>
          </w:tcPr>
          <w:p w14:paraId="633211AA" w14:textId="6C496D9D" w:rsidR="005A12CF" w:rsidRDefault="005A12CF" w:rsidP="004D31EB">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w:t>
            </w:r>
            <w:r w:rsidR="004D31EB">
              <w:rPr>
                <w:rFonts w:asciiTheme="minorHAnsi" w:eastAsia="Times New Roman" w:hAnsiTheme="minorHAnsi" w:cs="Calibri"/>
                <w:sz w:val="18"/>
                <w:szCs w:val="18"/>
              </w:rPr>
              <w:t>3</w:t>
            </w:r>
          </w:p>
        </w:tc>
        <w:tc>
          <w:tcPr>
            <w:tcW w:w="961" w:type="pct"/>
            <w:tcBorders>
              <w:top w:val="single" w:sz="4" w:space="0" w:color="auto"/>
              <w:left w:val="nil"/>
              <w:bottom w:val="single" w:sz="4" w:space="0" w:color="auto"/>
              <w:right w:val="single" w:sz="4" w:space="0" w:color="auto"/>
            </w:tcBorders>
            <w:shd w:val="clear" w:color="auto" w:fill="auto"/>
            <w:noWrap/>
          </w:tcPr>
          <w:p w14:paraId="12DC979A" w14:textId="58F89BEB" w:rsidR="005A12CF" w:rsidRDefault="005A12CF"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12/31/</w:t>
            </w:r>
            <w:r w:rsidRPr="004A50FD">
              <w:rPr>
                <w:rFonts w:asciiTheme="minorHAnsi" w:eastAsia="Times New Roman" w:hAnsiTheme="minorHAnsi" w:cs="Calibri"/>
                <w:sz w:val="18"/>
                <w:szCs w:val="18"/>
              </w:rPr>
              <w:t>2013</w:t>
            </w:r>
          </w:p>
        </w:tc>
      </w:tr>
    </w:tbl>
    <w:p w14:paraId="2BE23959" w14:textId="77777777" w:rsidR="004A50FD" w:rsidRDefault="004A50FD" w:rsidP="004A50FD">
      <w:pPr>
        <w:spacing w:before="200"/>
        <w:jc w:val="both"/>
        <w:rPr>
          <w:b/>
        </w:rPr>
      </w:pPr>
      <w:r>
        <w:rPr>
          <w:b/>
        </w:rPr>
        <w:t>Definition</w:t>
      </w:r>
      <w:r w:rsidRPr="00FB7DE8">
        <w:rPr>
          <w:b/>
        </w:rPr>
        <w:t xml:space="preserve">: </w:t>
      </w:r>
    </w:p>
    <w:p w14:paraId="47C8EEEE" w14:textId="32A42D41" w:rsidR="0000047F" w:rsidRPr="001A3E5A" w:rsidRDefault="00C20328" w:rsidP="00C20328">
      <w:pPr>
        <w:pStyle w:val="NormalWeb"/>
        <w:shd w:val="clear" w:color="auto" w:fill="FFFFFF"/>
        <w:spacing w:before="240" w:beforeAutospacing="0" w:after="0" w:afterAutospacing="0" w:line="319" w:lineRule="atLeast"/>
        <w:rPr>
          <w:rFonts w:ascii="Calibri" w:eastAsia="Calibri" w:hAnsi="Calibri"/>
          <w:sz w:val="22"/>
          <w:szCs w:val="22"/>
        </w:rPr>
      </w:pPr>
      <w:r w:rsidRPr="001A3E5A">
        <w:rPr>
          <w:rFonts w:ascii="Calibri" w:eastAsia="Calibri" w:hAnsi="Calibri"/>
          <w:sz w:val="22"/>
          <w:szCs w:val="22"/>
        </w:rPr>
        <w:t xml:space="preserve">Performance on these measures is reported as a Standard Infection Ratio (SIR), or the ratio of the number of infections and expected number of infections at a particular facility. The CDC adjusts the SIR for risk factors associated with differences in a facility’s infection rates, like hospital type, medical school affiliation, and bed size for CLABSI and CAUTI, and patient and procedural differences for SSI. The pre-calculated SIRs </w:t>
      </w:r>
      <w:r w:rsidR="004A50FD" w:rsidRPr="001A3E5A">
        <w:rPr>
          <w:rFonts w:ascii="Calibri" w:eastAsia="Calibri" w:hAnsi="Calibri"/>
          <w:sz w:val="22"/>
          <w:szCs w:val="22"/>
        </w:rPr>
        <w:t xml:space="preserve">for </w:t>
      </w:r>
      <w:r w:rsidRPr="001A3E5A">
        <w:rPr>
          <w:rFonts w:ascii="Calibri" w:eastAsia="Calibri" w:hAnsi="Calibri"/>
          <w:sz w:val="22"/>
          <w:szCs w:val="22"/>
        </w:rPr>
        <w:t>health care</w:t>
      </w:r>
      <w:r w:rsidR="004A50FD" w:rsidRPr="001A3E5A">
        <w:rPr>
          <w:rFonts w:ascii="Calibri" w:eastAsia="Calibri" w:hAnsi="Calibri"/>
          <w:sz w:val="22"/>
          <w:szCs w:val="22"/>
        </w:rPr>
        <w:t>-</w:t>
      </w:r>
      <w:r w:rsidRPr="001A3E5A">
        <w:rPr>
          <w:rFonts w:ascii="Calibri" w:eastAsia="Calibri" w:hAnsi="Calibri"/>
          <w:sz w:val="22"/>
          <w:szCs w:val="22"/>
        </w:rPr>
        <w:t xml:space="preserve">associated infections </w:t>
      </w:r>
      <w:r w:rsidR="004A50FD" w:rsidRPr="001A3E5A">
        <w:rPr>
          <w:rFonts w:ascii="Calibri" w:eastAsia="Calibri" w:hAnsi="Calibri"/>
          <w:sz w:val="22"/>
          <w:szCs w:val="22"/>
        </w:rPr>
        <w:t>were retri</w:t>
      </w:r>
      <w:r w:rsidRPr="001A3E5A">
        <w:rPr>
          <w:rFonts w:ascii="Calibri" w:eastAsia="Calibri" w:hAnsi="Calibri"/>
          <w:sz w:val="22"/>
          <w:szCs w:val="22"/>
        </w:rPr>
        <w:t>eved from CMS Hospital Compare</w:t>
      </w:r>
      <w:r w:rsidR="004A50FD" w:rsidRPr="001A3E5A">
        <w:rPr>
          <w:rFonts w:ascii="Calibri" w:eastAsia="Calibri" w:hAnsi="Calibri"/>
          <w:sz w:val="22"/>
          <w:szCs w:val="22"/>
        </w:rPr>
        <w:t>. Where a hospital’s performance is not included on Hospital Compare because of small numbers, missing data, or because the measure does not apply, the measure is also not included in the report.</w:t>
      </w:r>
    </w:p>
    <w:p w14:paraId="235BE74B" w14:textId="30F6E69F" w:rsidR="005D16EC" w:rsidRPr="0000047F" w:rsidRDefault="00806637" w:rsidP="002D3487">
      <w:pPr>
        <w:pStyle w:val="Heading2"/>
        <w:spacing w:after="200"/>
      </w:pPr>
      <w:bookmarkStart w:id="3" w:name="_Toc416877835"/>
      <w:r>
        <w:lastRenderedPageBreak/>
        <w:t>Metric</w:t>
      </w:r>
      <w:r w:rsidR="00515CDF" w:rsidRPr="0000047F">
        <w:t xml:space="preserve">: Hospital-wide </w:t>
      </w:r>
      <w:r w:rsidR="001B3EF3">
        <w:t xml:space="preserve">Adult </w:t>
      </w:r>
      <w:r w:rsidR="00515CDF" w:rsidRPr="0000047F">
        <w:t>All-</w:t>
      </w:r>
      <w:r w:rsidR="001B3EF3">
        <w:t>Payer</w:t>
      </w:r>
      <w:r w:rsidR="00515CDF" w:rsidRPr="0000047F">
        <w:t xml:space="preserve"> Readmission</w:t>
      </w:r>
      <w:r w:rsidR="00AB6A71" w:rsidRPr="0000047F">
        <w:t>s</w:t>
      </w:r>
      <w:r w:rsidR="00515CDF" w:rsidRPr="0000047F">
        <w:t xml:space="preserve"> Measure</w:t>
      </w:r>
      <w:bookmarkEnd w:id="3"/>
    </w:p>
    <w:p w14:paraId="17C4E2C5" w14:textId="77777777" w:rsidR="00043D56" w:rsidRDefault="00043D56" w:rsidP="002D3487">
      <w:pPr>
        <w:spacing w:before="200"/>
      </w:pPr>
      <w:r w:rsidRPr="00793375">
        <w:rPr>
          <w:b/>
        </w:rPr>
        <w:t>Steward:</w:t>
      </w:r>
      <w:r>
        <w:t xml:space="preserve">  Centers for Medicare </w:t>
      </w:r>
      <w:r w:rsidR="001660FC">
        <w:t>&amp;</w:t>
      </w:r>
      <w:r>
        <w:t xml:space="preserve"> Medicaid </w:t>
      </w:r>
    </w:p>
    <w:p w14:paraId="142E815A" w14:textId="1BFDD840" w:rsidR="00AD3567" w:rsidRPr="001461F7" w:rsidRDefault="00AD3567" w:rsidP="0000047F">
      <w:pPr>
        <w:spacing w:before="200"/>
      </w:pPr>
      <w:r>
        <w:rPr>
          <w:b/>
        </w:rPr>
        <w:t xml:space="preserve">CHIA </w:t>
      </w:r>
      <w:r w:rsidRPr="00FB7DE8">
        <w:rPr>
          <w:b/>
        </w:rPr>
        <w:t>Data Source</w:t>
      </w:r>
      <w:r w:rsidR="004927A5">
        <w:rPr>
          <w:b/>
        </w:rPr>
        <w:t>s</w:t>
      </w:r>
      <w:r w:rsidRPr="00FB7DE8">
        <w:rPr>
          <w:b/>
        </w:rPr>
        <w:t xml:space="preserve">: </w:t>
      </w:r>
      <w:r w:rsidR="004A2AAC">
        <w:t xml:space="preserve">CHIA </w:t>
      </w:r>
      <w:r>
        <w:t>Hospital Discharge D</w:t>
      </w:r>
      <w:r w:rsidRPr="001461F7">
        <w:t>ata</w:t>
      </w:r>
      <w:r>
        <w:t>base</w:t>
      </w:r>
      <w:r w:rsidRPr="001461F7">
        <w:t xml:space="preserve"> </w:t>
      </w:r>
    </w:p>
    <w:p w14:paraId="389AAC09" w14:textId="3D17C3B5" w:rsidR="00A53484" w:rsidRPr="00A53484" w:rsidRDefault="00490693" w:rsidP="002D3487">
      <w:pPr>
        <w:spacing w:before="200"/>
      </w:pPr>
      <w:r w:rsidRPr="00793375">
        <w:rPr>
          <w:b/>
        </w:rPr>
        <w:t>Populations:</w:t>
      </w:r>
      <w:r>
        <w:t xml:space="preserve">  </w:t>
      </w:r>
      <w:r w:rsidR="004F5742">
        <w:t>A</w:t>
      </w:r>
      <w:r w:rsidR="00A53484">
        <w:t xml:space="preserve">ll </w:t>
      </w:r>
      <w:r w:rsidR="001660FC">
        <w:t>P</w:t>
      </w:r>
      <w:r w:rsidR="00A53484">
        <w:t xml:space="preserve">ayers, </w:t>
      </w:r>
      <w:r w:rsidR="004F5742">
        <w:t>Age</w:t>
      </w:r>
      <w:r w:rsidR="002D0629">
        <w:t>s</w:t>
      </w:r>
      <w:r w:rsidR="004F5742">
        <w:t xml:space="preserve"> </w:t>
      </w:r>
      <w:r w:rsidR="00A53484">
        <w:t>18+</w:t>
      </w:r>
    </w:p>
    <w:tbl>
      <w:tblPr>
        <w:tblW w:w="5000" w:type="pct"/>
        <w:tblLook w:val="04A0" w:firstRow="1" w:lastRow="0" w:firstColumn="1" w:lastColumn="0" w:noHBand="0" w:noVBand="1"/>
      </w:tblPr>
      <w:tblGrid>
        <w:gridCol w:w="1329"/>
        <w:gridCol w:w="1749"/>
        <w:gridCol w:w="2980"/>
        <w:gridCol w:w="1367"/>
        <w:gridCol w:w="1065"/>
        <w:gridCol w:w="1086"/>
      </w:tblGrid>
      <w:tr w:rsidR="00515CDF" w:rsidRPr="001461F7" w14:paraId="4AC9149A" w14:textId="77777777" w:rsidTr="00515CDF">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20C6A0B9" w14:textId="1F780F77" w:rsidR="00515CDF" w:rsidRPr="001461F7" w:rsidRDefault="00515CDF" w:rsidP="00793375">
            <w:pPr>
              <w:spacing w:after="0" w:line="240" w:lineRule="auto"/>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7F10AFAC"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3E304ADA"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5DB4604A" w14:textId="77777777" w:rsidR="00515CDF" w:rsidRPr="001461F7" w:rsidRDefault="00AD3567" w:rsidP="0049570B">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043D56">
              <w:rPr>
                <w:rFonts w:asciiTheme="minorHAnsi" w:eastAsia="Times New Roman" w:hAnsiTheme="minorHAnsi" w:cs="Calibri"/>
                <w:b/>
                <w:bCs/>
                <w:color w:val="FFFFFF" w:themeColor="background1"/>
                <w:sz w:val="18"/>
                <w:szCs w:val="18"/>
              </w:rPr>
              <w:t>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6BDEE194"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6080DDC7" w14:textId="77777777" w:rsidR="00515CDF" w:rsidRPr="001461F7" w:rsidRDefault="00515CDF"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761A65" w:rsidRPr="001461F7" w14:paraId="729B2105" w14:textId="77777777" w:rsidTr="00F96069">
        <w:trPr>
          <w:trHeight w:val="836"/>
        </w:trPr>
        <w:tc>
          <w:tcPr>
            <w:tcW w:w="694" w:type="pct"/>
            <w:tcBorders>
              <w:top w:val="nil"/>
              <w:left w:val="single" w:sz="4" w:space="0" w:color="auto"/>
              <w:bottom w:val="single" w:sz="4" w:space="0" w:color="auto"/>
              <w:right w:val="single" w:sz="4" w:space="0" w:color="auto"/>
            </w:tcBorders>
            <w:shd w:val="clear" w:color="000000" w:fill="F2F2F2"/>
            <w:hideMark/>
          </w:tcPr>
          <w:p w14:paraId="547CA1E5" w14:textId="77777777" w:rsidR="00761A65" w:rsidRPr="001461F7" w:rsidRDefault="00761A65"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Readmission Rates</w:t>
            </w:r>
          </w:p>
        </w:tc>
        <w:tc>
          <w:tcPr>
            <w:tcW w:w="913" w:type="pct"/>
            <w:tcBorders>
              <w:top w:val="nil"/>
              <w:left w:val="nil"/>
              <w:bottom w:val="single" w:sz="4" w:space="0" w:color="auto"/>
              <w:right w:val="single" w:sz="4" w:space="0" w:color="auto"/>
            </w:tcBorders>
            <w:shd w:val="clear" w:color="000000" w:fill="F2F2F2"/>
            <w:hideMark/>
          </w:tcPr>
          <w:p w14:paraId="4C5BADF3" w14:textId="77777777" w:rsidR="00761A65" w:rsidRPr="001461F7" w:rsidRDefault="00316E7D" w:rsidP="00515CDF">
            <w:pPr>
              <w:spacing w:after="0" w:line="240" w:lineRule="auto"/>
              <w:rPr>
                <w:rFonts w:asciiTheme="minorHAnsi" w:eastAsia="Times New Roman" w:hAnsiTheme="minorHAnsi" w:cs="Calibri"/>
                <w:sz w:val="18"/>
                <w:szCs w:val="18"/>
              </w:rPr>
            </w:pPr>
            <w:r w:rsidRPr="00316E7D">
              <w:rPr>
                <w:rFonts w:asciiTheme="minorHAnsi" w:eastAsia="Times New Roman" w:hAnsiTheme="minorHAnsi" w:cs="Calibri"/>
                <w:sz w:val="18"/>
                <w:szCs w:val="18"/>
              </w:rPr>
              <w:t>Hospital-Wide All-Cause Unplanned Readmission Measure (HWR)</w:t>
            </w:r>
            <w:r w:rsidR="009D72E6">
              <w:rPr>
                <w:rFonts w:asciiTheme="minorHAnsi" w:eastAsia="Times New Roman" w:hAnsiTheme="minorHAnsi" w:cs="Calibri"/>
                <w:sz w:val="18"/>
                <w:szCs w:val="18"/>
              </w:rPr>
              <w:t xml:space="preserve"> (</w:t>
            </w:r>
            <w:r w:rsidR="009D72E6" w:rsidRPr="009D72E6">
              <w:rPr>
                <w:rFonts w:asciiTheme="minorHAnsi" w:eastAsia="Times New Roman" w:hAnsiTheme="minorHAnsi" w:cs="Calibri"/>
                <w:sz w:val="18"/>
                <w:szCs w:val="18"/>
              </w:rPr>
              <w:t>All-Payer Measure)</w:t>
            </w:r>
          </w:p>
        </w:tc>
        <w:tc>
          <w:tcPr>
            <w:tcW w:w="1556" w:type="pct"/>
            <w:tcBorders>
              <w:top w:val="nil"/>
              <w:left w:val="nil"/>
              <w:bottom w:val="single" w:sz="4" w:space="0" w:color="auto"/>
              <w:right w:val="single" w:sz="4" w:space="0" w:color="auto"/>
            </w:tcBorders>
            <w:shd w:val="clear" w:color="000000" w:fill="F2F2F2"/>
            <w:hideMark/>
          </w:tcPr>
          <w:p w14:paraId="742D225C" w14:textId="74F02916" w:rsidR="00761A65" w:rsidRPr="001461F7" w:rsidRDefault="00761A65" w:rsidP="001B3EF3">
            <w:pPr>
              <w:spacing w:after="0" w:line="240" w:lineRule="auto"/>
              <w:rPr>
                <w:rFonts w:asciiTheme="minorHAnsi" w:eastAsia="Times New Roman" w:hAnsiTheme="minorHAnsi" w:cs="Calibri"/>
                <w:sz w:val="18"/>
                <w:szCs w:val="18"/>
              </w:rPr>
            </w:pPr>
            <w:r w:rsidRPr="00761A65">
              <w:rPr>
                <w:rFonts w:asciiTheme="minorHAnsi" w:eastAsia="Times New Roman" w:hAnsiTheme="minorHAnsi" w:cs="Calibri"/>
                <w:sz w:val="18"/>
                <w:szCs w:val="18"/>
              </w:rPr>
              <w:t>This measure estimates the hospital-</w:t>
            </w:r>
            <w:r w:rsidR="001B3EF3">
              <w:rPr>
                <w:rFonts w:asciiTheme="minorHAnsi" w:eastAsia="Times New Roman" w:hAnsiTheme="minorHAnsi" w:cs="Calibri"/>
                <w:sz w:val="18"/>
                <w:szCs w:val="18"/>
              </w:rPr>
              <w:t>wide</w:t>
            </w:r>
            <w:r w:rsidRPr="00761A65">
              <w:rPr>
                <w:rFonts w:asciiTheme="minorHAnsi" w:eastAsia="Times New Roman" w:hAnsiTheme="minorHAnsi" w:cs="Calibri"/>
                <w:sz w:val="18"/>
                <w:szCs w:val="18"/>
              </w:rPr>
              <w:t>,</w:t>
            </w:r>
            <w:r w:rsidR="001B3EF3">
              <w:rPr>
                <w:rFonts w:asciiTheme="minorHAnsi" w:eastAsia="Times New Roman" w:hAnsiTheme="minorHAnsi" w:cs="Calibri"/>
                <w:sz w:val="18"/>
                <w:szCs w:val="18"/>
              </w:rPr>
              <w:t xml:space="preserve"> all-cause, unplanned 30-day readmission rate</w:t>
            </w:r>
            <w:r w:rsidRPr="00761A65">
              <w:rPr>
                <w:rFonts w:asciiTheme="minorHAnsi" w:eastAsia="Times New Roman" w:hAnsiTheme="minorHAnsi" w:cs="Calibri"/>
                <w:sz w:val="18"/>
                <w:szCs w:val="18"/>
              </w:rPr>
              <w:t xml:space="preserve"> for </w:t>
            </w:r>
            <w:r w:rsidR="001B3EF3">
              <w:rPr>
                <w:rFonts w:asciiTheme="minorHAnsi" w:eastAsia="Times New Roman" w:hAnsiTheme="minorHAnsi" w:cs="Calibri"/>
                <w:sz w:val="18"/>
                <w:szCs w:val="18"/>
              </w:rPr>
              <w:t xml:space="preserve">all-payer patients aged 18 and older. </w:t>
            </w:r>
          </w:p>
        </w:tc>
        <w:tc>
          <w:tcPr>
            <w:tcW w:w="714" w:type="pct"/>
            <w:tcBorders>
              <w:top w:val="nil"/>
              <w:left w:val="nil"/>
              <w:bottom w:val="single" w:sz="4" w:space="0" w:color="auto"/>
              <w:right w:val="single" w:sz="4" w:space="0" w:color="auto"/>
            </w:tcBorders>
            <w:shd w:val="clear" w:color="000000" w:fill="F2F2F2"/>
            <w:hideMark/>
          </w:tcPr>
          <w:p w14:paraId="028C1086" w14:textId="77777777" w:rsidR="00761A65" w:rsidRPr="001461F7" w:rsidRDefault="0076660E" w:rsidP="00C935F1">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 xml:space="preserve">Administrative </w:t>
            </w:r>
            <w:r w:rsidR="00C935F1">
              <w:rPr>
                <w:rFonts w:asciiTheme="minorHAnsi" w:eastAsia="Times New Roman" w:hAnsiTheme="minorHAnsi" w:cs="Calibri"/>
                <w:sz w:val="18"/>
                <w:szCs w:val="18"/>
              </w:rPr>
              <w:t>Records</w:t>
            </w:r>
          </w:p>
        </w:tc>
        <w:tc>
          <w:tcPr>
            <w:tcW w:w="556" w:type="pct"/>
            <w:tcBorders>
              <w:top w:val="nil"/>
              <w:left w:val="nil"/>
              <w:bottom w:val="single" w:sz="4" w:space="0" w:color="auto"/>
              <w:right w:val="single" w:sz="4" w:space="0" w:color="auto"/>
            </w:tcBorders>
            <w:shd w:val="clear" w:color="000000" w:fill="F2F2F2"/>
            <w:noWrap/>
            <w:hideMark/>
          </w:tcPr>
          <w:p w14:paraId="526283C6" w14:textId="569B66B2" w:rsidR="00761A65" w:rsidRPr="001461F7" w:rsidRDefault="004A50FD" w:rsidP="004A50FD">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7/1</w:t>
            </w:r>
            <w:r w:rsidR="00814E76">
              <w:rPr>
                <w:rFonts w:asciiTheme="minorHAnsi" w:eastAsia="Times New Roman" w:hAnsiTheme="minorHAnsi" w:cs="Calibri"/>
                <w:sz w:val="18"/>
                <w:szCs w:val="18"/>
              </w:rPr>
              <w:t>/</w:t>
            </w:r>
            <w:r>
              <w:rPr>
                <w:rFonts w:asciiTheme="minorHAnsi" w:eastAsia="Times New Roman" w:hAnsiTheme="minorHAnsi" w:cs="Calibri"/>
                <w:sz w:val="18"/>
                <w:szCs w:val="18"/>
              </w:rPr>
              <w:t>2010</w:t>
            </w:r>
          </w:p>
        </w:tc>
        <w:tc>
          <w:tcPr>
            <w:tcW w:w="567" w:type="pct"/>
            <w:tcBorders>
              <w:top w:val="nil"/>
              <w:left w:val="nil"/>
              <w:bottom w:val="single" w:sz="4" w:space="0" w:color="auto"/>
              <w:right w:val="single" w:sz="4" w:space="0" w:color="auto"/>
            </w:tcBorders>
            <w:shd w:val="clear" w:color="000000" w:fill="F2F2F2"/>
            <w:noWrap/>
            <w:hideMark/>
          </w:tcPr>
          <w:p w14:paraId="28662B62" w14:textId="5CDCDB90" w:rsidR="00761A65" w:rsidRPr="001461F7" w:rsidRDefault="004A50FD"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6/</w:t>
            </w:r>
            <w:r w:rsidR="00E52A6E">
              <w:rPr>
                <w:rFonts w:asciiTheme="minorHAnsi" w:eastAsia="Times New Roman" w:hAnsiTheme="minorHAnsi" w:cs="Calibri"/>
                <w:sz w:val="18"/>
                <w:szCs w:val="18"/>
              </w:rPr>
              <w:t>30</w:t>
            </w:r>
            <w:r w:rsidR="00814E76">
              <w:rPr>
                <w:rFonts w:asciiTheme="minorHAnsi" w:eastAsia="Times New Roman" w:hAnsiTheme="minorHAnsi" w:cs="Calibri"/>
                <w:sz w:val="18"/>
                <w:szCs w:val="18"/>
              </w:rPr>
              <w:t>/201</w:t>
            </w:r>
            <w:r>
              <w:rPr>
                <w:rFonts w:asciiTheme="minorHAnsi" w:eastAsia="Times New Roman" w:hAnsiTheme="minorHAnsi" w:cs="Calibri"/>
                <w:sz w:val="18"/>
                <w:szCs w:val="18"/>
              </w:rPr>
              <w:t>3</w:t>
            </w:r>
          </w:p>
        </w:tc>
      </w:tr>
    </w:tbl>
    <w:p w14:paraId="444EB587" w14:textId="77777777" w:rsidR="005D16EC" w:rsidRPr="00793375" w:rsidRDefault="004D4FEC" w:rsidP="000A3980">
      <w:pPr>
        <w:spacing w:before="200"/>
        <w:rPr>
          <w:b/>
        </w:rPr>
      </w:pPr>
      <w:r w:rsidRPr="00793375">
        <w:rPr>
          <w:b/>
        </w:rPr>
        <w:t>Ca</w:t>
      </w:r>
      <w:r w:rsidR="005D16EC" w:rsidRPr="00793375">
        <w:rPr>
          <w:b/>
        </w:rPr>
        <w:t>lculation/Definition:</w:t>
      </w:r>
    </w:p>
    <w:p w14:paraId="2570299B" w14:textId="5508D03C" w:rsidR="00D23FBC" w:rsidRDefault="0030253D" w:rsidP="000A3980">
      <w:r>
        <w:t xml:space="preserve">The all-payer </w:t>
      </w:r>
      <w:r w:rsidR="00DB4303">
        <w:t>risk standardized readmission</w:t>
      </w:r>
      <w:r w:rsidR="0076660E">
        <w:t xml:space="preserve"> </w:t>
      </w:r>
      <w:r>
        <w:t>rates for patients 18+ years of age were</w:t>
      </w:r>
      <w:r w:rsidR="00603B8A">
        <w:t xml:space="preserve"> calculated according to the measure specifications </w:t>
      </w:r>
      <w:r w:rsidR="0076660E">
        <w:t xml:space="preserve">adopted </w:t>
      </w:r>
      <w:r w:rsidR="00603B8A">
        <w:t xml:space="preserve">from </w:t>
      </w:r>
      <w:r w:rsidR="00603B8A" w:rsidRPr="00603B8A">
        <w:t>CMS</w:t>
      </w:r>
      <w:r w:rsidR="0076660E">
        <w:t xml:space="preserve">, as submitted by the </w:t>
      </w:r>
      <w:r w:rsidR="0076660E" w:rsidRPr="001352C3">
        <w:t>Center for Outcomes Research and Evaluation</w:t>
      </w:r>
      <w:r w:rsidR="0076660E">
        <w:t>,</w:t>
      </w:r>
      <w:r w:rsidR="0076660E" w:rsidRPr="001352C3">
        <w:t xml:space="preserve"> Yale New Haven Health Services Corporation</w:t>
      </w:r>
      <w:r w:rsidR="0076660E">
        <w:t xml:space="preserve">. </w:t>
      </w:r>
      <w:r w:rsidR="00603B8A">
        <w:t>CHIA’s Hospital Discharge Database (HDD)</w:t>
      </w:r>
      <w:r w:rsidR="0076660E">
        <w:t xml:space="preserve"> was used for this analysis</w:t>
      </w:r>
      <w:r w:rsidR="00603B8A">
        <w:t xml:space="preserve">. </w:t>
      </w:r>
      <w:r w:rsidR="001B3EF3" w:rsidRPr="001B3EF3">
        <w:t>The measure reports a single summary risk-standardized readmission rate (RSRR), derived from the volume-weighted results of five clinically defined cohorts: surgery/gynecology, general medicine, cardiorespiratory, cardiovascular, and neurology. The risk standardization procedure controls for patient case mix and hospital service mix.</w:t>
      </w:r>
    </w:p>
    <w:p w14:paraId="1A41D216" w14:textId="285FD3EE" w:rsidR="005D16EC" w:rsidRPr="0000047F" w:rsidRDefault="001B3EF3" w:rsidP="00C20328">
      <w:r>
        <w:t xml:space="preserve">For more details, please see </w:t>
      </w:r>
      <w:hyperlink r:id="rId9" w:history="1">
        <w:r w:rsidRPr="001B3EF3">
          <w:rPr>
            <w:rStyle w:val="Hyperlink"/>
          </w:rPr>
          <w:t>http://www.chiamass.gov/hospital-wide-adult-all-payer-readmissions-in-massachusetts-2011-2013/</w:t>
        </w:r>
      </w:hyperlink>
      <w:r>
        <w:rPr>
          <w:i/>
        </w:rPr>
        <w:t xml:space="preserve"> </w:t>
      </w:r>
      <w:r w:rsidR="004A2AAC" w:rsidRPr="001B3EF3">
        <w:rPr>
          <w:i/>
        </w:rPr>
        <w:br w:type="page"/>
      </w:r>
      <w:bookmarkStart w:id="4" w:name="_Toc416877836"/>
      <w:r w:rsidR="00806637">
        <w:rPr>
          <w:rFonts w:asciiTheme="majorHAnsi" w:eastAsiaTheme="majorEastAsia" w:hAnsiTheme="majorHAnsi" w:cstheme="majorBidi"/>
          <w:b/>
          <w:bCs/>
          <w:color w:val="4F81BD" w:themeColor="accent1"/>
          <w:sz w:val="26"/>
          <w:szCs w:val="26"/>
        </w:rPr>
        <w:lastRenderedPageBreak/>
        <w:t>Metric</w:t>
      </w:r>
      <w:r w:rsidR="005D16EC" w:rsidRPr="00C20328">
        <w:rPr>
          <w:rFonts w:asciiTheme="majorHAnsi" w:eastAsiaTheme="majorEastAsia" w:hAnsiTheme="majorHAnsi" w:cstheme="majorBidi"/>
          <w:b/>
          <w:bCs/>
          <w:color w:val="4F81BD" w:themeColor="accent1"/>
          <w:sz w:val="26"/>
          <w:szCs w:val="26"/>
        </w:rPr>
        <w:t xml:space="preserve">: </w:t>
      </w:r>
      <w:r w:rsidR="007252ED">
        <w:rPr>
          <w:rFonts w:asciiTheme="majorHAnsi" w:eastAsiaTheme="majorEastAsia" w:hAnsiTheme="majorHAnsi" w:cstheme="majorBidi"/>
          <w:b/>
          <w:bCs/>
          <w:color w:val="4F81BD" w:themeColor="accent1"/>
          <w:sz w:val="26"/>
          <w:szCs w:val="26"/>
        </w:rPr>
        <w:t>Serious Complications (Patient Safety Indicator composite, PSI 90)</w:t>
      </w:r>
      <w:bookmarkEnd w:id="4"/>
    </w:p>
    <w:p w14:paraId="6A25535B" w14:textId="77777777" w:rsidR="00AD3567" w:rsidRDefault="00AD3567" w:rsidP="00793375">
      <w:r w:rsidRPr="00793375">
        <w:rPr>
          <w:b/>
        </w:rPr>
        <w:t>Steward:</w:t>
      </w:r>
      <w:r>
        <w:t xml:space="preserve">  Agency for Health Research and Quality </w:t>
      </w:r>
    </w:p>
    <w:p w14:paraId="34FBC132" w14:textId="77777777" w:rsidR="004927A5" w:rsidRDefault="004927A5" w:rsidP="00793375">
      <w:r>
        <w:rPr>
          <w:b/>
        </w:rPr>
        <w:t xml:space="preserve">CHIA Data Source: </w:t>
      </w:r>
      <w:r w:rsidR="001660FC">
        <w:t>CHIA Hospital Discharge D</w:t>
      </w:r>
      <w:r w:rsidR="001660FC" w:rsidRPr="001461F7">
        <w:t>ata</w:t>
      </w:r>
      <w:r w:rsidR="001660FC">
        <w:t>base</w:t>
      </w:r>
      <w:r w:rsidR="001660FC" w:rsidRPr="001461F7">
        <w:t xml:space="preserve"> </w:t>
      </w:r>
    </w:p>
    <w:p w14:paraId="392F6DA9" w14:textId="77777777" w:rsidR="004D4FEC" w:rsidRPr="00793375" w:rsidRDefault="004D4FEC" w:rsidP="00793375">
      <w:r w:rsidRPr="00793375">
        <w:rPr>
          <w:b/>
        </w:rPr>
        <w:t>Population:</w:t>
      </w:r>
      <w:r>
        <w:rPr>
          <w:b/>
        </w:rPr>
        <w:t xml:space="preserve"> </w:t>
      </w:r>
      <w:r w:rsidR="00FE5723">
        <w:t>All Payers</w:t>
      </w:r>
      <w:r w:rsidR="009451A7">
        <w:t>, Ages 18+</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1645"/>
        <w:gridCol w:w="2879"/>
        <w:gridCol w:w="1839"/>
        <w:gridCol w:w="994"/>
        <w:gridCol w:w="994"/>
      </w:tblGrid>
      <w:tr w:rsidR="005D16EC" w:rsidRPr="001461F7" w14:paraId="2410BA65" w14:textId="77777777" w:rsidTr="005D3B08">
        <w:trPr>
          <w:trHeight w:val="764"/>
          <w:tblHeader/>
        </w:trPr>
        <w:tc>
          <w:tcPr>
            <w:tcW w:w="640" w:type="pct"/>
            <w:shd w:val="clear" w:color="000000" w:fill="538DD5"/>
            <w:vAlign w:val="center"/>
            <w:hideMark/>
          </w:tcPr>
          <w:p w14:paraId="6B8EC5B5"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859" w:type="pct"/>
            <w:shd w:val="clear" w:color="000000" w:fill="538DD5"/>
            <w:vAlign w:val="center"/>
            <w:hideMark/>
          </w:tcPr>
          <w:p w14:paraId="5F439E5F"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03" w:type="pct"/>
            <w:shd w:val="clear" w:color="000000" w:fill="538DD5"/>
            <w:vAlign w:val="center"/>
            <w:hideMark/>
          </w:tcPr>
          <w:p w14:paraId="401F98D3"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960" w:type="pct"/>
            <w:shd w:val="clear" w:color="000000" w:fill="538DD5"/>
            <w:vAlign w:val="center"/>
            <w:hideMark/>
          </w:tcPr>
          <w:p w14:paraId="1736A93A" w14:textId="77777777" w:rsidR="005D16EC" w:rsidRPr="001461F7" w:rsidRDefault="00AD3567"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Primary Data Source</w:t>
            </w:r>
          </w:p>
        </w:tc>
        <w:tc>
          <w:tcPr>
            <w:tcW w:w="519" w:type="pct"/>
            <w:shd w:val="clear" w:color="000000" w:fill="538DD5"/>
            <w:vAlign w:val="center"/>
            <w:hideMark/>
          </w:tcPr>
          <w:p w14:paraId="2706CFFE"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19" w:type="pct"/>
            <w:shd w:val="clear" w:color="000000" w:fill="538DD5"/>
            <w:vAlign w:val="center"/>
            <w:hideMark/>
          </w:tcPr>
          <w:p w14:paraId="4B660669" w14:textId="77777777" w:rsidR="005D16EC" w:rsidRPr="001461F7" w:rsidRDefault="005D16EC"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5D3B08" w:rsidRPr="001461F7" w14:paraId="031680A0" w14:textId="77777777" w:rsidTr="005D3B08">
        <w:trPr>
          <w:trHeight w:val="971"/>
        </w:trPr>
        <w:tc>
          <w:tcPr>
            <w:tcW w:w="640" w:type="pct"/>
            <w:shd w:val="clear" w:color="000000" w:fill="F2F2F2"/>
          </w:tcPr>
          <w:p w14:paraId="4F159A43" w14:textId="77777777" w:rsidR="005D3B08" w:rsidRPr="001461F7" w:rsidRDefault="005D3B08"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Safety Indicators</w:t>
            </w:r>
          </w:p>
        </w:tc>
        <w:tc>
          <w:tcPr>
            <w:tcW w:w="859" w:type="pct"/>
            <w:shd w:val="clear" w:color="000000" w:fill="F2F2F2"/>
          </w:tcPr>
          <w:p w14:paraId="0ACBE53E" w14:textId="77777777" w:rsidR="005D3B08" w:rsidRPr="001461F7" w:rsidRDefault="005D3B08" w:rsidP="00515CDF">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Patient Safety for Selected Indicators</w:t>
            </w:r>
            <w:r>
              <w:rPr>
                <w:rFonts w:asciiTheme="minorHAnsi" w:eastAsia="Times New Roman" w:hAnsiTheme="minorHAnsi" w:cs="Calibri"/>
                <w:sz w:val="18"/>
                <w:szCs w:val="18"/>
              </w:rPr>
              <w:t xml:space="preserve"> (PSI 90)</w:t>
            </w:r>
          </w:p>
        </w:tc>
        <w:tc>
          <w:tcPr>
            <w:tcW w:w="1503" w:type="pct"/>
            <w:shd w:val="clear" w:color="000000" w:fill="F2F2F2"/>
          </w:tcPr>
          <w:p w14:paraId="4B263A63" w14:textId="77777777" w:rsidR="005D3B08" w:rsidRPr="00553BA3"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The weighted average of the reliability-adjusted observed-to-expected ratios (indirect standardization of the smoothed rates) for the following component indicators:</w:t>
            </w:r>
          </w:p>
          <w:p w14:paraId="149AD104"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03 Pressure Ulcer Rate </w:t>
            </w:r>
          </w:p>
          <w:p w14:paraId="12515342"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06 Iatrogenic Pneumothorax Rate </w:t>
            </w:r>
          </w:p>
          <w:p w14:paraId="54F3C56B"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07 Central Venous Catheter-Related Blood Stream Infection Rate • PSI 08 Postoperative Hip Fracture Rate </w:t>
            </w:r>
          </w:p>
          <w:p w14:paraId="26E98DC9"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09 Perioperative Hemorrhage or Hematoma Rate </w:t>
            </w:r>
          </w:p>
          <w:p w14:paraId="68F131C8"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10 Postoperative Physiologic and Metabolic Derangement Rate </w:t>
            </w:r>
          </w:p>
          <w:p w14:paraId="080FB6BA"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11 Postoperative Respiratory Failure Rate </w:t>
            </w:r>
          </w:p>
          <w:p w14:paraId="5DE1B4B7"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12 Perioperative Pulmonary Embolism or Deep Vein Thrombosis Rate </w:t>
            </w:r>
          </w:p>
          <w:p w14:paraId="36DEC4B2"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13 Postoperative Sepsis Rate </w:t>
            </w:r>
          </w:p>
          <w:p w14:paraId="1B2CAFF1" w14:textId="77777777" w:rsidR="005D3B08"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xml:space="preserve">• PSI 14 Postoperative Wound Dehiscence Rate </w:t>
            </w:r>
          </w:p>
          <w:p w14:paraId="1C666AC6" w14:textId="77777777" w:rsidR="005D3B08" w:rsidRPr="001461F7" w:rsidRDefault="005D3B08" w:rsidP="00553BA3">
            <w:pPr>
              <w:spacing w:after="0" w:line="240" w:lineRule="auto"/>
              <w:rPr>
                <w:rFonts w:asciiTheme="minorHAnsi" w:eastAsia="Times New Roman" w:hAnsiTheme="minorHAnsi" w:cs="Calibri"/>
                <w:sz w:val="18"/>
                <w:szCs w:val="18"/>
              </w:rPr>
            </w:pPr>
            <w:r w:rsidRPr="00553BA3">
              <w:rPr>
                <w:rFonts w:asciiTheme="minorHAnsi" w:eastAsia="Times New Roman" w:hAnsiTheme="minorHAnsi" w:cs="Calibri"/>
                <w:sz w:val="18"/>
                <w:szCs w:val="18"/>
              </w:rPr>
              <w:t>• PSI 15 Accidental Puncture or Laceration Rate</w:t>
            </w:r>
          </w:p>
        </w:tc>
        <w:tc>
          <w:tcPr>
            <w:tcW w:w="960" w:type="pct"/>
            <w:shd w:val="clear" w:color="000000" w:fill="F2F2F2"/>
          </w:tcPr>
          <w:p w14:paraId="201AE694" w14:textId="77777777" w:rsidR="005D3B08" w:rsidRDefault="00C935F1" w:rsidP="00515CD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Administrative Records</w:t>
            </w:r>
          </w:p>
        </w:tc>
        <w:tc>
          <w:tcPr>
            <w:tcW w:w="519" w:type="pct"/>
            <w:shd w:val="clear" w:color="000000" w:fill="F2F2F2"/>
            <w:noWrap/>
          </w:tcPr>
          <w:p w14:paraId="430C7B88" w14:textId="77777777" w:rsidR="005D3B08" w:rsidRPr="001461F7" w:rsidRDefault="005D3B08"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10/1/2010</w:t>
            </w:r>
          </w:p>
        </w:tc>
        <w:tc>
          <w:tcPr>
            <w:tcW w:w="519" w:type="pct"/>
            <w:shd w:val="clear" w:color="000000" w:fill="F2F2F2"/>
            <w:noWrap/>
          </w:tcPr>
          <w:p w14:paraId="50EBD9FC" w14:textId="47C771A4" w:rsidR="005D3B08" w:rsidRPr="001461F7" w:rsidRDefault="005D3B08" w:rsidP="004A50FD">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9/30/</w:t>
            </w:r>
            <w:r w:rsidR="004A50FD">
              <w:rPr>
                <w:rFonts w:asciiTheme="minorHAnsi" w:eastAsia="Times New Roman" w:hAnsiTheme="minorHAnsi" w:cs="Calibri"/>
                <w:sz w:val="18"/>
                <w:szCs w:val="18"/>
              </w:rPr>
              <w:t>2014</w:t>
            </w:r>
          </w:p>
        </w:tc>
      </w:tr>
    </w:tbl>
    <w:p w14:paraId="11513911" w14:textId="77777777" w:rsidR="005D16EC" w:rsidRDefault="005D16EC" w:rsidP="000A3980">
      <w:pPr>
        <w:spacing w:before="200"/>
        <w:rPr>
          <w:b/>
        </w:rPr>
      </w:pPr>
      <w:r w:rsidRPr="00FB7DE8">
        <w:rPr>
          <w:b/>
        </w:rPr>
        <w:t xml:space="preserve">Calculation: </w:t>
      </w:r>
    </w:p>
    <w:p w14:paraId="74070AD4" w14:textId="282D3749" w:rsidR="005D16EC" w:rsidRDefault="001A3E5A" w:rsidP="000A3980">
      <w:r>
        <w:t>The Serious Complications measure (PSI 90) was</w:t>
      </w:r>
      <w:r w:rsidR="005D16EC">
        <w:t xml:space="preserve"> calculated according to the measure specifications from the Agency for Healthcare Research and Quality (AHRQ), using data from CHIA’s Hospital Discharge Database (HDD)</w:t>
      </w:r>
      <w:r w:rsidR="006052C7">
        <w:t xml:space="preserve"> for </w:t>
      </w:r>
      <w:r>
        <w:t>four</w:t>
      </w:r>
      <w:r w:rsidR="006052C7">
        <w:t xml:space="preserve"> fiscal years (</w:t>
      </w:r>
      <w:r w:rsidR="005D3B08">
        <w:t>2010-2011, 2011-2012</w:t>
      </w:r>
      <w:r w:rsidR="004A50FD">
        <w:t xml:space="preserve">, </w:t>
      </w:r>
      <w:r w:rsidR="005D3B08">
        <w:t>2012-2013</w:t>
      </w:r>
      <w:r w:rsidR="00B66C9F">
        <w:t>,</w:t>
      </w:r>
      <w:r w:rsidR="004A50FD">
        <w:t xml:space="preserve"> and 2013-2014</w:t>
      </w:r>
      <w:r w:rsidR="006052C7">
        <w:t>)</w:t>
      </w:r>
      <w:r w:rsidR="005D3B08">
        <w:t xml:space="preserve"> </w:t>
      </w:r>
      <w:r w:rsidR="00FE5723">
        <w:t xml:space="preserve">and AHRQ software </w:t>
      </w:r>
      <w:r w:rsidR="0076660E" w:rsidRPr="002D3487">
        <w:t>versions 4.5A</w:t>
      </w:r>
      <w:r>
        <w:t xml:space="preserve"> and 5.0</w:t>
      </w:r>
      <w:r w:rsidR="005D16EC" w:rsidRPr="002D3487">
        <w:t xml:space="preserve">. </w:t>
      </w:r>
    </w:p>
    <w:p w14:paraId="4D376D10" w14:textId="35C02E26" w:rsidR="005D16EC" w:rsidRDefault="001A3E5A" w:rsidP="000A3980">
      <w:r>
        <w:t>The Serious Complications measure was</w:t>
      </w:r>
      <w:r w:rsidR="005D16EC">
        <w:t xml:space="preserve"> risk-adjusted according to AHRQ specifications to remove the confounding effect of patient case mix. </w:t>
      </w:r>
      <w:r w:rsidR="00FE5723">
        <w:t xml:space="preserve">If </w:t>
      </w:r>
      <w:r w:rsidR="005D16EC">
        <w:t xml:space="preserve">a hospital had fewer than 30 cases in the denominator the </w:t>
      </w:r>
      <w:r>
        <w:t>rate</w:t>
      </w:r>
      <w:r w:rsidR="005D16EC">
        <w:t xml:space="preserve"> </w:t>
      </w:r>
      <w:r>
        <w:t>was</w:t>
      </w:r>
      <w:r w:rsidR="005D16EC">
        <w:t xml:space="preserve"> not reported.</w:t>
      </w:r>
    </w:p>
    <w:p w14:paraId="625FD700" w14:textId="77777777" w:rsidR="004A2AAC" w:rsidRDefault="004A2AAC">
      <w:pPr>
        <w:spacing w:after="0" w:line="240" w:lineRule="auto"/>
        <w:rPr>
          <w:rFonts w:asciiTheme="majorHAnsi" w:eastAsiaTheme="majorEastAsia" w:hAnsiTheme="majorHAnsi" w:cstheme="majorBidi"/>
          <w:b/>
          <w:bCs/>
          <w:color w:val="4F81BD" w:themeColor="accent1"/>
          <w:sz w:val="26"/>
          <w:szCs w:val="26"/>
        </w:rPr>
      </w:pPr>
      <w:r>
        <w:br w:type="page"/>
      </w:r>
    </w:p>
    <w:p w14:paraId="11C81330" w14:textId="2CC56C6A" w:rsidR="002D0629" w:rsidRPr="0000047F" w:rsidRDefault="00806637" w:rsidP="002D3487">
      <w:pPr>
        <w:pStyle w:val="Heading2"/>
        <w:spacing w:after="200"/>
      </w:pPr>
      <w:bookmarkStart w:id="5" w:name="_Toc416877837"/>
      <w:r>
        <w:lastRenderedPageBreak/>
        <w:t>Metrics</w:t>
      </w:r>
      <w:r w:rsidR="002C5E5E" w:rsidRPr="0000047F">
        <w:t xml:space="preserve">: </w:t>
      </w:r>
      <w:r>
        <w:t xml:space="preserve">The </w:t>
      </w:r>
      <w:r w:rsidR="002C5E5E" w:rsidRPr="0000047F">
        <w:t xml:space="preserve">Leapfrog </w:t>
      </w:r>
      <w:r>
        <w:t xml:space="preserve">Group </w:t>
      </w:r>
      <w:r w:rsidR="002C5E5E" w:rsidRPr="0000047F">
        <w:t>Measures</w:t>
      </w:r>
      <w:bookmarkEnd w:id="5"/>
    </w:p>
    <w:p w14:paraId="4394D967" w14:textId="77777777" w:rsidR="004927A5" w:rsidRDefault="004927A5" w:rsidP="00793375">
      <w:r w:rsidRPr="00793375">
        <w:rPr>
          <w:b/>
        </w:rPr>
        <w:t>Steward:</w:t>
      </w:r>
      <w:r>
        <w:t xml:space="preserve"> The Leapfrog Group</w:t>
      </w:r>
    </w:p>
    <w:p w14:paraId="40650A67" w14:textId="77777777" w:rsidR="004927A5" w:rsidRDefault="004927A5" w:rsidP="00793375">
      <w:r w:rsidRPr="00793375">
        <w:rPr>
          <w:b/>
        </w:rPr>
        <w:t>CHIA Data Source:</w:t>
      </w:r>
      <w:r>
        <w:t xml:space="preserve"> The Leapfrog Group Hospital Survey</w:t>
      </w:r>
    </w:p>
    <w:p w14:paraId="7F4CDDEB" w14:textId="77777777" w:rsidR="004D4FEC" w:rsidRPr="004927A5" w:rsidRDefault="004D4FEC" w:rsidP="00793375">
      <w:r w:rsidRPr="00793375">
        <w:rPr>
          <w:b/>
        </w:rPr>
        <w:t>Population:</w:t>
      </w:r>
      <w:r>
        <w:t xml:space="preserve"> </w:t>
      </w:r>
      <w:r w:rsidR="00FE5723">
        <w:t xml:space="preserve"> All Payers</w:t>
      </w:r>
      <w:r w:rsidR="009451A7">
        <w:t>, All Ages</w:t>
      </w:r>
    </w:p>
    <w:tbl>
      <w:tblPr>
        <w:tblW w:w="5000" w:type="pct"/>
        <w:tblLook w:val="04A0" w:firstRow="1" w:lastRow="0" w:firstColumn="1" w:lastColumn="0" w:noHBand="0" w:noVBand="1"/>
      </w:tblPr>
      <w:tblGrid>
        <w:gridCol w:w="1273"/>
        <w:gridCol w:w="1695"/>
        <w:gridCol w:w="2925"/>
        <w:gridCol w:w="1314"/>
        <w:gridCol w:w="1272"/>
        <w:gridCol w:w="1097"/>
      </w:tblGrid>
      <w:tr w:rsidR="002C5E5E" w:rsidRPr="001461F7" w14:paraId="09F29B83" w14:textId="77777777" w:rsidTr="00806637">
        <w:trPr>
          <w:trHeight w:val="764"/>
          <w:tblHeader/>
        </w:trPr>
        <w:tc>
          <w:tcPr>
            <w:tcW w:w="665"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42EA6BAB"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885" w:type="pct"/>
            <w:tcBorders>
              <w:top w:val="single" w:sz="4" w:space="0" w:color="auto"/>
              <w:left w:val="nil"/>
              <w:bottom w:val="single" w:sz="4" w:space="0" w:color="auto"/>
              <w:right w:val="single" w:sz="4" w:space="0" w:color="auto"/>
            </w:tcBorders>
            <w:shd w:val="clear" w:color="000000" w:fill="538DD5"/>
            <w:vAlign w:val="center"/>
            <w:hideMark/>
          </w:tcPr>
          <w:p w14:paraId="36315D28"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Measure Name and ID</w:t>
            </w:r>
          </w:p>
        </w:tc>
        <w:tc>
          <w:tcPr>
            <w:tcW w:w="1527" w:type="pct"/>
            <w:tcBorders>
              <w:top w:val="single" w:sz="4" w:space="0" w:color="auto"/>
              <w:left w:val="nil"/>
              <w:bottom w:val="single" w:sz="4" w:space="0" w:color="auto"/>
              <w:right w:val="single" w:sz="4" w:space="0" w:color="auto"/>
            </w:tcBorders>
            <w:shd w:val="clear" w:color="000000" w:fill="538DD5"/>
            <w:vAlign w:val="center"/>
            <w:hideMark/>
          </w:tcPr>
          <w:p w14:paraId="1ECF9FCD"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686" w:type="pct"/>
            <w:tcBorders>
              <w:top w:val="single" w:sz="4" w:space="0" w:color="auto"/>
              <w:left w:val="nil"/>
              <w:bottom w:val="single" w:sz="4" w:space="0" w:color="auto"/>
              <w:right w:val="single" w:sz="4" w:space="0" w:color="auto"/>
            </w:tcBorders>
            <w:shd w:val="clear" w:color="000000" w:fill="538DD5"/>
            <w:vAlign w:val="center"/>
            <w:hideMark/>
          </w:tcPr>
          <w:p w14:paraId="1E322DE7" w14:textId="77777777" w:rsidR="002C5E5E" w:rsidRPr="001461F7" w:rsidRDefault="004927A5"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Primary Data Source</w:t>
            </w:r>
          </w:p>
        </w:tc>
        <w:tc>
          <w:tcPr>
            <w:tcW w:w="664" w:type="pct"/>
            <w:tcBorders>
              <w:top w:val="single" w:sz="4" w:space="0" w:color="auto"/>
              <w:left w:val="nil"/>
              <w:bottom w:val="single" w:sz="4" w:space="0" w:color="auto"/>
              <w:right w:val="single" w:sz="4" w:space="0" w:color="auto"/>
            </w:tcBorders>
            <w:shd w:val="clear" w:color="000000" w:fill="538DD5"/>
            <w:vAlign w:val="center"/>
            <w:hideMark/>
          </w:tcPr>
          <w:p w14:paraId="0617B3C3"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73" w:type="pct"/>
            <w:tcBorders>
              <w:top w:val="single" w:sz="4" w:space="0" w:color="auto"/>
              <w:left w:val="nil"/>
              <w:bottom w:val="single" w:sz="4" w:space="0" w:color="auto"/>
              <w:right w:val="single" w:sz="4" w:space="0" w:color="auto"/>
            </w:tcBorders>
            <w:shd w:val="clear" w:color="000000" w:fill="538DD5"/>
            <w:vAlign w:val="center"/>
            <w:hideMark/>
          </w:tcPr>
          <w:p w14:paraId="56580632"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CE3B92" w:rsidRPr="001461F7" w14:paraId="0FA7E871" w14:textId="77777777" w:rsidTr="00806637">
        <w:trPr>
          <w:trHeight w:val="989"/>
        </w:trPr>
        <w:tc>
          <w:tcPr>
            <w:tcW w:w="665" w:type="pct"/>
            <w:tcBorders>
              <w:top w:val="single" w:sz="4" w:space="0" w:color="auto"/>
              <w:left w:val="single" w:sz="4" w:space="0" w:color="auto"/>
              <w:bottom w:val="single" w:sz="4" w:space="0" w:color="auto"/>
              <w:right w:val="single" w:sz="4" w:space="0" w:color="auto"/>
            </w:tcBorders>
            <w:shd w:val="clear" w:color="auto" w:fill="auto"/>
          </w:tcPr>
          <w:p w14:paraId="1E0CA426" w14:textId="77777777" w:rsidR="00CE3B92" w:rsidRPr="001461F7" w:rsidRDefault="00CE3B92" w:rsidP="0000047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Leapfrog</w:t>
            </w:r>
          </w:p>
        </w:tc>
        <w:tc>
          <w:tcPr>
            <w:tcW w:w="885" w:type="pct"/>
            <w:tcBorders>
              <w:top w:val="single" w:sz="4" w:space="0" w:color="auto"/>
              <w:left w:val="nil"/>
              <w:bottom w:val="single" w:sz="4" w:space="0" w:color="auto"/>
              <w:right w:val="single" w:sz="4" w:space="0" w:color="auto"/>
            </w:tcBorders>
            <w:shd w:val="clear" w:color="auto" w:fill="auto"/>
          </w:tcPr>
          <w:p w14:paraId="66021633" w14:textId="77777777" w:rsidR="00CE3B92" w:rsidRPr="001461F7" w:rsidRDefault="00CE3B92" w:rsidP="0000047F">
            <w:pPr>
              <w:spacing w:after="0" w:line="240" w:lineRule="auto"/>
              <w:rPr>
                <w:rFonts w:asciiTheme="minorHAnsi" w:hAnsiTheme="minorHAnsi" w:cs="Arial"/>
                <w:sz w:val="18"/>
                <w:szCs w:val="18"/>
                <w:shd w:val="clear" w:color="auto" w:fill="FFFFFF"/>
              </w:rPr>
            </w:pPr>
            <w:r w:rsidRPr="001461F7">
              <w:rPr>
                <w:rFonts w:asciiTheme="minorHAnsi" w:hAnsiTheme="minorHAnsi" w:cs="Arial"/>
                <w:sz w:val="18"/>
                <w:szCs w:val="18"/>
                <w:shd w:val="clear" w:color="auto" w:fill="FFFFFF"/>
              </w:rPr>
              <w:t>Elective Delivery Prior to 39 Completed Weeks Gestation</w:t>
            </w:r>
          </w:p>
        </w:tc>
        <w:tc>
          <w:tcPr>
            <w:tcW w:w="1527" w:type="pct"/>
            <w:tcBorders>
              <w:top w:val="single" w:sz="4" w:space="0" w:color="auto"/>
              <w:left w:val="nil"/>
              <w:bottom w:val="single" w:sz="4" w:space="0" w:color="auto"/>
              <w:right w:val="single" w:sz="4" w:space="0" w:color="auto"/>
            </w:tcBorders>
            <w:shd w:val="clear" w:color="auto" w:fill="auto"/>
          </w:tcPr>
          <w:p w14:paraId="791A9EE8" w14:textId="77777777" w:rsidR="00CE3B92" w:rsidRPr="001461F7" w:rsidRDefault="00CE3B92" w:rsidP="0000047F">
            <w:pPr>
              <w:spacing w:after="0" w:line="240" w:lineRule="auto"/>
              <w:rPr>
                <w:rFonts w:asciiTheme="minorHAnsi" w:hAnsiTheme="minorHAnsi" w:cs="Arial"/>
                <w:sz w:val="18"/>
                <w:szCs w:val="18"/>
                <w:shd w:val="clear" w:color="auto" w:fill="FFFFFF"/>
              </w:rPr>
            </w:pPr>
            <w:r w:rsidRPr="001461F7">
              <w:rPr>
                <w:rFonts w:asciiTheme="minorHAnsi" w:hAnsiTheme="minorHAnsi" w:cs="Arial"/>
                <w:sz w:val="18"/>
                <w:szCs w:val="18"/>
                <w:shd w:val="clear" w:color="auto" w:fill="FFFFFF"/>
              </w:rPr>
              <w:t>Elective Delivery Prior to 39 Completed Weeks Gestation</w:t>
            </w:r>
          </w:p>
        </w:tc>
        <w:tc>
          <w:tcPr>
            <w:tcW w:w="686" w:type="pct"/>
            <w:tcBorders>
              <w:top w:val="single" w:sz="4" w:space="0" w:color="auto"/>
              <w:left w:val="nil"/>
              <w:bottom w:val="single" w:sz="4" w:space="0" w:color="auto"/>
              <w:right w:val="single" w:sz="4" w:space="0" w:color="auto"/>
            </w:tcBorders>
            <w:shd w:val="clear" w:color="auto" w:fill="auto"/>
          </w:tcPr>
          <w:p w14:paraId="0D4F1834" w14:textId="77777777" w:rsidR="00CE3B92" w:rsidRPr="001461F7" w:rsidRDefault="00CE3B92"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Hospital Survey</w:t>
            </w:r>
          </w:p>
        </w:tc>
        <w:tc>
          <w:tcPr>
            <w:tcW w:w="664" w:type="pct"/>
            <w:tcBorders>
              <w:top w:val="single" w:sz="4" w:space="0" w:color="auto"/>
              <w:left w:val="nil"/>
              <w:bottom w:val="single" w:sz="4" w:space="0" w:color="auto"/>
              <w:right w:val="single" w:sz="4" w:space="0" w:color="auto"/>
            </w:tcBorders>
            <w:shd w:val="clear" w:color="auto" w:fill="auto"/>
            <w:noWrap/>
          </w:tcPr>
          <w:p w14:paraId="2E60485A" w14:textId="77777777" w:rsidR="00CE3B92" w:rsidRPr="001461F7" w:rsidRDefault="00CE3B92" w:rsidP="0000047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1/1/201</w:t>
            </w:r>
            <w:r>
              <w:rPr>
                <w:rFonts w:asciiTheme="minorHAnsi" w:eastAsia="Times New Roman" w:hAnsiTheme="minorHAnsi" w:cs="Calibri"/>
                <w:sz w:val="18"/>
                <w:szCs w:val="18"/>
              </w:rPr>
              <w:t>1</w:t>
            </w:r>
          </w:p>
        </w:tc>
        <w:tc>
          <w:tcPr>
            <w:tcW w:w="573" w:type="pct"/>
            <w:tcBorders>
              <w:top w:val="single" w:sz="4" w:space="0" w:color="auto"/>
              <w:left w:val="nil"/>
              <w:bottom w:val="single" w:sz="4" w:space="0" w:color="auto"/>
              <w:right w:val="single" w:sz="4" w:space="0" w:color="auto"/>
            </w:tcBorders>
            <w:shd w:val="clear" w:color="auto" w:fill="auto"/>
            <w:noWrap/>
          </w:tcPr>
          <w:p w14:paraId="3EC466C8" w14:textId="2549DBA4" w:rsidR="00CE3B92" w:rsidRPr="001461F7" w:rsidRDefault="00CE3B92" w:rsidP="00CE3B92">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6/30/201</w:t>
            </w:r>
            <w:r w:rsidR="001A3E5A">
              <w:rPr>
                <w:rFonts w:asciiTheme="minorHAnsi" w:eastAsia="Times New Roman" w:hAnsiTheme="minorHAnsi" w:cs="Calibri"/>
                <w:sz w:val="18"/>
                <w:szCs w:val="18"/>
              </w:rPr>
              <w:t>5</w:t>
            </w:r>
          </w:p>
        </w:tc>
      </w:tr>
      <w:tr w:rsidR="00CE3B92" w:rsidRPr="001461F7" w14:paraId="1BFA62C0" w14:textId="77777777" w:rsidTr="00806637">
        <w:trPr>
          <w:trHeight w:val="989"/>
        </w:trPr>
        <w:tc>
          <w:tcPr>
            <w:tcW w:w="665" w:type="pct"/>
            <w:tcBorders>
              <w:top w:val="single" w:sz="4" w:space="0" w:color="auto"/>
              <w:left w:val="single" w:sz="4" w:space="0" w:color="auto"/>
              <w:bottom w:val="single" w:sz="4" w:space="0" w:color="auto"/>
              <w:right w:val="single" w:sz="4" w:space="0" w:color="auto"/>
            </w:tcBorders>
            <w:shd w:val="clear" w:color="auto" w:fill="auto"/>
          </w:tcPr>
          <w:p w14:paraId="378CEC1A" w14:textId="07367C9A" w:rsidR="00CE3B92" w:rsidRPr="001461F7" w:rsidRDefault="00CE3B92" w:rsidP="0000047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Leapfrog</w:t>
            </w:r>
          </w:p>
        </w:tc>
        <w:tc>
          <w:tcPr>
            <w:tcW w:w="885" w:type="pct"/>
            <w:tcBorders>
              <w:top w:val="single" w:sz="4" w:space="0" w:color="auto"/>
              <w:left w:val="nil"/>
              <w:bottom w:val="single" w:sz="4" w:space="0" w:color="auto"/>
              <w:right w:val="single" w:sz="4" w:space="0" w:color="auto"/>
            </w:tcBorders>
            <w:shd w:val="clear" w:color="auto" w:fill="auto"/>
          </w:tcPr>
          <w:p w14:paraId="344A6C00" w14:textId="395A3312" w:rsidR="00CE3B92" w:rsidRPr="001461F7" w:rsidRDefault="00CE3B92" w:rsidP="0000047F">
            <w:pPr>
              <w:spacing w:after="0" w:line="240" w:lineRule="auto"/>
              <w:rPr>
                <w:rFonts w:asciiTheme="minorHAnsi" w:hAnsiTheme="minorHAnsi" w:cs="Arial"/>
                <w:sz w:val="18"/>
                <w:szCs w:val="18"/>
                <w:shd w:val="clear" w:color="auto" w:fill="FFFFFF"/>
              </w:rPr>
            </w:pPr>
            <w:r w:rsidRPr="00CE3B92">
              <w:rPr>
                <w:rFonts w:asciiTheme="minorHAnsi" w:hAnsiTheme="minorHAnsi" w:cs="Arial"/>
                <w:sz w:val="18"/>
                <w:szCs w:val="18"/>
                <w:shd w:val="clear" w:color="auto" w:fill="FFFFFF"/>
              </w:rPr>
              <w:t>Incidence of Episiotomy</w:t>
            </w:r>
          </w:p>
        </w:tc>
        <w:tc>
          <w:tcPr>
            <w:tcW w:w="1527" w:type="pct"/>
            <w:tcBorders>
              <w:top w:val="single" w:sz="4" w:space="0" w:color="auto"/>
              <w:left w:val="nil"/>
              <w:bottom w:val="single" w:sz="4" w:space="0" w:color="auto"/>
              <w:right w:val="single" w:sz="4" w:space="0" w:color="auto"/>
            </w:tcBorders>
            <w:shd w:val="clear" w:color="auto" w:fill="auto"/>
          </w:tcPr>
          <w:p w14:paraId="261E0B93" w14:textId="001BF4ED" w:rsidR="00CE3B92" w:rsidRPr="001461F7" w:rsidRDefault="001A3E5A" w:rsidP="001A3E5A">
            <w:pPr>
              <w:spacing w:after="0" w:line="240" w:lineRule="auto"/>
              <w:rPr>
                <w:rFonts w:asciiTheme="minorHAnsi" w:hAnsiTheme="minorHAnsi" w:cs="Arial"/>
                <w:sz w:val="18"/>
                <w:szCs w:val="18"/>
                <w:shd w:val="clear" w:color="auto" w:fill="FFFFFF"/>
              </w:rPr>
            </w:pPr>
            <w:r>
              <w:rPr>
                <w:rFonts w:asciiTheme="minorHAnsi" w:hAnsiTheme="minorHAnsi" w:cs="Arial"/>
                <w:sz w:val="18"/>
                <w:szCs w:val="18"/>
                <w:shd w:val="clear" w:color="auto" w:fill="FFFFFF"/>
              </w:rPr>
              <w:t>Percent of vaginal deliveries in which an episiotomy was performed.</w:t>
            </w:r>
          </w:p>
        </w:tc>
        <w:tc>
          <w:tcPr>
            <w:tcW w:w="686" w:type="pct"/>
            <w:tcBorders>
              <w:top w:val="single" w:sz="4" w:space="0" w:color="auto"/>
              <w:left w:val="nil"/>
              <w:bottom w:val="single" w:sz="4" w:space="0" w:color="auto"/>
              <w:right w:val="single" w:sz="4" w:space="0" w:color="auto"/>
            </w:tcBorders>
            <w:shd w:val="clear" w:color="auto" w:fill="auto"/>
          </w:tcPr>
          <w:p w14:paraId="69AEDC7E" w14:textId="1A93C76B" w:rsidR="00CE3B92" w:rsidRPr="001461F7" w:rsidRDefault="00CE3B92" w:rsidP="0000047F">
            <w:pPr>
              <w:spacing w:after="0" w:line="240" w:lineRule="auto"/>
              <w:rPr>
                <w:rFonts w:asciiTheme="minorHAnsi" w:eastAsia="Times New Roman" w:hAnsiTheme="minorHAnsi" w:cs="Calibri"/>
                <w:sz w:val="18"/>
                <w:szCs w:val="18"/>
              </w:rPr>
            </w:pPr>
            <w:r>
              <w:rPr>
                <w:rFonts w:asciiTheme="minorHAnsi" w:eastAsia="Times New Roman" w:hAnsiTheme="minorHAnsi" w:cs="Calibri"/>
                <w:sz w:val="18"/>
                <w:szCs w:val="18"/>
              </w:rPr>
              <w:t>Hospital Survey</w:t>
            </w:r>
          </w:p>
        </w:tc>
        <w:tc>
          <w:tcPr>
            <w:tcW w:w="664" w:type="pct"/>
            <w:tcBorders>
              <w:top w:val="single" w:sz="4" w:space="0" w:color="auto"/>
              <w:left w:val="nil"/>
              <w:bottom w:val="single" w:sz="4" w:space="0" w:color="auto"/>
              <w:right w:val="single" w:sz="4" w:space="0" w:color="auto"/>
            </w:tcBorders>
            <w:shd w:val="clear" w:color="auto" w:fill="auto"/>
            <w:noWrap/>
          </w:tcPr>
          <w:p w14:paraId="744DC2A9" w14:textId="3B393C48" w:rsidR="00CE3B92" w:rsidRPr="001461F7" w:rsidRDefault="00CE3B92" w:rsidP="0000047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1/1/201</w:t>
            </w:r>
            <w:r>
              <w:rPr>
                <w:rFonts w:asciiTheme="minorHAnsi" w:eastAsia="Times New Roman" w:hAnsiTheme="minorHAnsi" w:cs="Calibri"/>
                <w:sz w:val="18"/>
                <w:szCs w:val="18"/>
              </w:rPr>
              <w:t>1</w:t>
            </w:r>
          </w:p>
        </w:tc>
        <w:tc>
          <w:tcPr>
            <w:tcW w:w="573" w:type="pct"/>
            <w:tcBorders>
              <w:top w:val="single" w:sz="4" w:space="0" w:color="auto"/>
              <w:left w:val="nil"/>
              <w:bottom w:val="single" w:sz="4" w:space="0" w:color="auto"/>
              <w:right w:val="single" w:sz="4" w:space="0" w:color="auto"/>
            </w:tcBorders>
            <w:shd w:val="clear" w:color="auto" w:fill="auto"/>
            <w:noWrap/>
          </w:tcPr>
          <w:p w14:paraId="6631B505" w14:textId="35874976" w:rsidR="00CE3B92" w:rsidRPr="001461F7" w:rsidRDefault="00CE3B92" w:rsidP="0000047F">
            <w:pPr>
              <w:spacing w:after="0" w:line="240" w:lineRule="auto"/>
              <w:jc w:val="center"/>
              <w:rPr>
                <w:rFonts w:asciiTheme="minorHAnsi" w:eastAsia="Times New Roman" w:hAnsiTheme="minorHAnsi" w:cs="Calibri"/>
                <w:sz w:val="18"/>
                <w:szCs w:val="18"/>
              </w:rPr>
            </w:pPr>
            <w:r w:rsidRPr="001461F7">
              <w:rPr>
                <w:rFonts w:asciiTheme="minorHAnsi" w:eastAsia="Times New Roman" w:hAnsiTheme="minorHAnsi" w:cs="Calibri"/>
                <w:sz w:val="18"/>
                <w:szCs w:val="18"/>
              </w:rPr>
              <w:t>6/30/201</w:t>
            </w:r>
            <w:r w:rsidR="001A3E5A">
              <w:rPr>
                <w:rFonts w:asciiTheme="minorHAnsi" w:eastAsia="Times New Roman" w:hAnsiTheme="minorHAnsi" w:cs="Calibri"/>
                <w:sz w:val="18"/>
                <w:szCs w:val="18"/>
              </w:rPr>
              <w:t>5</w:t>
            </w:r>
          </w:p>
        </w:tc>
      </w:tr>
    </w:tbl>
    <w:p w14:paraId="204E5088" w14:textId="77777777" w:rsidR="002C5E5E" w:rsidRDefault="002C5E5E" w:rsidP="000A3980">
      <w:pPr>
        <w:spacing w:before="200"/>
        <w:jc w:val="both"/>
        <w:rPr>
          <w:b/>
        </w:rPr>
      </w:pPr>
      <w:r w:rsidRPr="00FB7DE8">
        <w:rPr>
          <w:b/>
        </w:rPr>
        <w:t xml:space="preserve">Definition: </w:t>
      </w:r>
    </w:p>
    <w:p w14:paraId="777429F9" w14:textId="22CBC4C7" w:rsidR="002C5E5E" w:rsidRDefault="001A3E5A" w:rsidP="000A3980">
      <w:r>
        <w:t xml:space="preserve">These </w:t>
      </w:r>
      <w:r w:rsidR="006052C7">
        <w:t>measure scores</w:t>
      </w:r>
      <w:r w:rsidR="002C5E5E" w:rsidRPr="001461F7">
        <w:t xml:space="preserve"> were </w:t>
      </w:r>
      <w:r w:rsidR="006052C7">
        <w:t>received</w:t>
      </w:r>
      <w:r w:rsidR="002C5E5E" w:rsidRPr="001461F7">
        <w:t xml:space="preserve"> from </w:t>
      </w:r>
      <w:r w:rsidR="0030253D">
        <w:t>The Leapfrog Group</w:t>
      </w:r>
      <w:r w:rsidR="002C5E5E" w:rsidRPr="001461F7">
        <w:t xml:space="preserve"> as pre-calculated percentages. </w:t>
      </w:r>
      <w:r w:rsidR="002C5E5E">
        <w:t>Participation in th</w:t>
      </w:r>
      <w:r w:rsidR="0030253D">
        <w:t xml:space="preserve">e Leapfrog survey is voluntary; </w:t>
      </w:r>
      <w:r w:rsidR="002C5E5E">
        <w:t xml:space="preserve">where a hospital does not </w:t>
      </w:r>
      <w:r w:rsidR="0030253D">
        <w:t>complete the survey or report on certain items in the surv</w:t>
      </w:r>
      <w:r w:rsidR="002C5E5E">
        <w:t xml:space="preserve">ey, the measure is also not included in the </w:t>
      </w:r>
      <w:r w:rsidR="006052C7">
        <w:t>r</w:t>
      </w:r>
      <w:r w:rsidR="002C5E5E">
        <w:t>eport.</w:t>
      </w:r>
      <w:r w:rsidR="00FE5723">
        <w:t xml:space="preserve">  </w:t>
      </w:r>
    </w:p>
    <w:p w14:paraId="46D3918B" w14:textId="2CDCF56D" w:rsidR="002C5E5E" w:rsidRPr="0000047F" w:rsidRDefault="00806637" w:rsidP="002D3487">
      <w:pPr>
        <w:pStyle w:val="Heading2"/>
        <w:spacing w:after="200"/>
      </w:pPr>
      <w:bookmarkStart w:id="6" w:name="_Toc416877838"/>
      <w:r>
        <w:t>Metrics</w:t>
      </w:r>
      <w:r w:rsidR="002C5E5E" w:rsidRPr="0000047F">
        <w:t>: Hospital Consumer Assessment of Healthcare Providers and Systems (HCAHPS)</w:t>
      </w:r>
      <w:bookmarkEnd w:id="6"/>
    </w:p>
    <w:p w14:paraId="3D836214" w14:textId="77777777" w:rsidR="004A2AAC" w:rsidRDefault="004A2AAC" w:rsidP="00793375">
      <w:r w:rsidRPr="00793375">
        <w:rPr>
          <w:b/>
        </w:rPr>
        <w:t xml:space="preserve">Steward: </w:t>
      </w:r>
      <w:r>
        <w:t>A</w:t>
      </w:r>
      <w:r w:rsidR="002D3487">
        <w:t xml:space="preserve">gency for </w:t>
      </w:r>
      <w:r>
        <w:t>H</w:t>
      </w:r>
      <w:r w:rsidR="002D3487">
        <w:t xml:space="preserve">ealthcare </w:t>
      </w:r>
      <w:r>
        <w:t>R</w:t>
      </w:r>
      <w:r w:rsidR="002D3487">
        <w:t xml:space="preserve">esearch and </w:t>
      </w:r>
      <w:r>
        <w:t>Q</w:t>
      </w:r>
      <w:r w:rsidR="002D3487">
        <w:t>uality</w:t>
      </w:r>
    </w:p>
    <w:p w14:paraId="74567846" w14:textId="77777777" w:rsidR="004A2AAC" w:rsidRDefault="004A2AAC" w:rsidP="00793375">
      <w:r w:rsidRPr="00793375">
        <w:rPr>
          <w:b/>
        </w:rPr>
        <w:t xml:space="preserve">CHIA Data Source: </w:t>
      </w:r>
      <w:r>
        <w:t>CMS Hospital Compare</w:t>
      </w:r>
    </w:p>
    <w:p w14:paraId="3450FB8F" w14:textId="77777777" w:rsidR="005F4D46" w:rsidRPr="005F4D46" w:rsidRDefault="005F4D46" w:rsidP="00793375">
      <w:r>
        <w:rPr>
          <w:b/>
        </w:rPr>
        <w:t xml:space="preserve">Populations: </w:t>
      </w:r>
      <w:r w:rsidR="001660FC">
        <w:t>All P</w:t>
      </w:r>
      <w:r>
        <w:t>ayers</w:t>
      </w:r>
      <w:r w:rsidR="001660FC">
        <w:t>, Ages 18+</w:t>
      </w:r>
    </w:p>
    <w:tbl>
      <w:tblPr>
        <w:tblW w:w="5000" w:type="pct"/>
        <w:tblLayout w:type="fixed"/>
        <w:tblLook w:val="04A0" w:firstRow="1" w:lastRow="0" w:firstColumn="1" w:lastColumn="0" w:noHBand="0" w:noVBand="1"/>
      </w:tblPr>
      <w:tblGrid>
        <w:gridCol w:w="1252"/>
        <w:gridCol w:w="1737"/>
        <w:gridCol w:w="2882"/>
        <w:gridCol w:w="1534"/>
        <w:gridCol w:w="1076"/>
        <w:gridCol w:w="1095"/>
      </w:tblGrid>
      <w:tr w:rsidR="002C5E5E" w:rsidRPr="001461F7" w14:paraId="5F09A09C" w14:textId="77777777" w:rsidTr="00806637">
        <w:trPr>
          <w:trHeight w:val="764"/>
          <w:tblHeader/>
        </w:trPr>
        <w:tc>
          <w:tcPr>
            <w:tcW w:w="653"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21CF669B"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07" w:type="pct"/>
            <w:tcBorders>
              <w:top w:val="single" w:sz="4" w:space="0" w:color="auto"/>
              <w:left w:val="nil"/>
              <w:bottom w:val="single" w:sz="4" w:space="0" w:color="auto"/>
              <w:right w:val="single" w:sz="4" w:space="0" w:color="auto"/>
            </w:tcBorders>
            <w:shd w:val="clear" w:color="000000" w:fill="538DD5"/>
            <w:vAlign w:val="center"/>
            <w:hideMark/>
          </w:tcPr>
          <w:p w14:paraId="2CA010FE"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05" w:type="pct"/>
            <w:tcBorders>
              <w:top w:val="single" w:sz="4" w:space="0" w:color="auto"/>
              <w:left w:val="nil"/>
              <w:bottom w:val="single" w:sz="4" w:space="0" w:color="auto"/>
              <w:right w:val="single" w:sz="4" w:space="0" w:color="auto"/>
            </w:tcBorders>
            <w:shd w:val="clear" w:color="000000" w:fill="538DD5"/>
            <w:vAlign w:val="center"/>
            <w:hideMark/>
          </w:tcPr>
          <w:p w14:paraId="13B89B18"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801" w:type="pct"/>
            <w:tcBorders>
              <w:top w:val="single" w:sz="4" w:space="0" w:color="auto"/>
              <w:left w:val="nil"/>
              <w:bottom w:val="single" w:sz="4" w:space="0" w:color="auto"/>
              <w:right w:val="single" w:sz="4" w:space="0" w:color="auto"/>
            </w:tcBorders>
            <w:shd w:val="clear" w:color="000000" w:fill="538DD5"/>
            <w:vAlign w:val="center"/>
            <w:hideMark/>
          </w:tcPr>
          <w:p w14:paraId="2C22B1C0" w14:textId="77777777" w:rsidR="002C5E5E" w:rsidRPr="001461F7" w:rsidRDefault="004A2AAC" w:rsidP="00515CD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2C5E5E" w:rsidRPr="001461F7">
              <w:rPr>
                <w:rFonts w:asciiTheme="minorHAnsi" w:eastAsia="Times New Roman" w:hAnsiTheme="minorHAnsi" w:cs="Calibri"/>
                <w:b/>
                <w:bCs/>
                <w:color w:val="FFFFFF" w:themeColor="background1"/>
                <w:sz w:val="18"/>
                <w:szCs w:val="18"/>
              </w:rPr>
              <w:t xml:space="preserve"> Data Source</w:t>
            </w:r>
          </w:p>
        </w:tc>
        <w:tc>
          <w:tcPr>
            <w:tcW w:w="562" w:type="pct"/>
            <w:tcBorders>
              <w:top w:val="single" w:sz="4" w:space="0" w:color="auto"/>
              <w:left w:val="nil"/>
              <w:bottom w:val="single" w:sz="4" w:space="0" w:color="auto"/>
              <w:right w:val="single" w:sz="4" w:space="0" w:color="auto"/>
            </w:tcBorders>
            <w:shd w:val="clear" w:color="000000" w:fill="538DD5"/>
            <w:vAlign w:val="center"/>
            <w:hideMark/>
          </w:tcPr>
          <w:p w14:paraId="4A09D7E9"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72" w:type="pct"/>
            <w:tcBorders>
              <w:top w:val="single" w:sz="4" w:space="0" w:color="auto"/>
              <w:left w:val="nil"/>
              <w:bottom w:val="single" w:sz="4" w:space="0" w:color="auto"/>
              <w:right w:val="single" w:sz="4" w:space="0" w:color="auto"/>
            </w:tcBorders>
            <w:shd w:val="clear" w:color="000000" w:fill="538DD5"/>
            <w:vAlign w:val="center"/>
            <w:hideMark/>
          </w:tcPr>
          <w:p w14:paraId="76ACD238" w14:textId="77777777" w:rsidR="002C5E5E" w:rsidRPr="001461F7" w:rsidRDefault="002C5E5E" w:rsidP="00515CDF">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2C5E5E" w:rsidRPr="001461F7" w14:paraId="49961F8D" w14:textId="77777777" w:rsidTr="00806637">
        <w:trPr>
          <w:trHeight w:val="998"/>
        </w:trPr>
        <w:tc>
          <w:tcPr>
            <w:tcW w:w="653" w:type="pct"/>
            <w:tcBorders>
              <w:top w:val="nil"/>
              <w:left w:val="single" w:sz="4" w:space="0" w:color="auto"/>
              <w:bottom w:val="single" w:sz="4" w:space="0" w:color="auto"/>
              <w:right w:val="single" w:sz="4" w:space="0" w:color="auto"/>
            </w:tcBorders>
            <w:shd w:val="clear" w:color="auto" w:fill="auto"/>
            <w:hideMark/>
          </w:tcPr>
          <w:p w14:paraId="0F635AAA"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auto" w:fill="auto"/>
            <w:hideMark/>
          </w:tcPr>
          <w:p w14:paraId="7199E500"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reporting that room was 'always' clean</w:t>
            </w:r>
          </w:p>
        </w:tc>
        <w:tc>
          <w:tcPr>
            <w:tcW w:w="1505" w:type="pct"/>
            <w:tcBorders>
              <w:top w:val="nil"/>
              <w:left w:val="nil"/>
              <w:bottom w:val="single" w:sz="4" w:space="0" w:color="auto"/>
              <w:right w:val="single" w:sz="4" w:space="0" w:color="auto"/>
            </w:tcBorders>
            <w:shd w:val="clear" w:color="auto" w:fill="auto"/>
            <w:hideMark/>
          </w:tcPr>
          <w:p w14:paraId="37F32883"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 xml:space="preserve">who reported that their room and bathroom were "Always" </w:t>
            </w:r>
            <w:proofErr w:type="gramStart"/>
            <w:r w:rsidRPr="001461F7">
              <w:rPr>
                <w:rFonts w:asciiTheme="minorHAnsi" w:eastAsia="Times New Roman" w:hAnsiTheme="minorHAnsi" w:cs="Calibri"/>
                <w:sz w:val="18"/>
                <w:szCs w:val="18"/>
              </w:rPr>
              <w:t>clean</w:t>
            </w:r>
            <w:proofErr w:type="gramEnd"/>
            <w:r w:rsidRPr="001461F7">
              <w:rPr>
                <w:rFonts w:asciiTheme="minorHAnsi" w:eastAsia="Times New Roman" w:hAnsiTheme="minorHAnsi" w:cs="Calibri"/>
                <w:sz w:val="18"/>
                <w:szCs w:val="18"/>
              </w:rPr>
              <w:t>.</w:t>
            </w:r>
          </w:p>
        </w:tc>
        <w:tc>
          <w:tcPr>
            <w:tcW w:w="801" w:type="pct"/>
            <w:tcBorders>
              <w:top w:val="nil"/>
              <w:left w:val="nil"/>
              <w:bottom w:val="single" w:sz="4" w:space="0" w:color="auto"/>
              <w:right w:val="single" w:sz="4" w:space="0" w:color="auto"/>
            </w:tcBorders>
            <w:shd w:val="clear" w:color="auto" w:fill="auto"/>
            <w:hideMark/>
          </w:tcPr>
          <w:p w14:paraId="0665F8A5" w14:textId="77777777" w:rsidR="002C5E5E" w:rsidRPr="001461F7" w:rsidRDefault="002C5E5E"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auto" w:fill="auto"/>
            <w:noWrap/>
            <w:hideMark/>
          </w:tcPr>
          <w:p w14:paraId="11007742" w14:textId="54CD2E0B" w:rsidR="002C5E5E"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w:t>
            </w:r>
            <w:r w:rsidR="00DC0E5B">
              <w:rPr>
                <w:rFonts w:asciiTheme="minorHAnsi" w:eastAsia="Times New Roman" w:hAnsiTheme="minorHAnsi" w:cs="Calibri"/>
                <w:sz w:val="18"/>
                <w:szCs w:val="18"/>
              </w:rPr>
              <w:t>/1/2011</w:t>
            </w:r>
          </w:p>
        </w:tc>
        <w:tc>
          <w:tcPr>
            <w:tcW w:w="572" w:type="pct"/>
            <w:tcBorders>
              <w:top w:val="nil"/>
              <w:left w:val="nil"/>
              <w:bottom w:val="single" w:sz="4" w:space="0" w:color="auto"/>
              <w:right w:val="single" w:sz="4" w:space="0" w:color="auto"/>
            </w:tcBorders>
            <w:shd w:val="clear" w:color="auto" w:fill="auto"/>
            <w:noWrap/>
            <w:hideMark/>
          </w:tcPr>
          <w:p w14:paraId="59EBE3FC" w14:textId="5E6C36E2" w:rsidR="002C5E5E"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002C5E5E" w:rsidRPr="001461F7">
              <w:rPr>
                <w:rFonts w:asciiTheme="minorHAnsi" w:eastAsia="Times New Roman" w:hAnsiTheme="minorHAnsi" w:cs="Calibri"/>
                <w:sz w:val="18"/>
                <w:szCs w:val="18"/>
              </w:rPr>
              <w:t>/31/2013</w:t>
            </w:r>
          </w:p>
        </w:tc>
      </w:tr>
      <w:tr w:rsidR="00CE3B92" w:rsidRPr="001461F7" w14:paraId="702CEBF0" w14:textId="77777777" w:rsidTr="00806637">
        <w:trPr>
          <w:trHeight w:val="1169"/>
        </w:trPr>
        <w:tc>
          <w:tcPr>
            <w:tcW w:w="653" w:type="pct"/>
            <w:tcBorders>
              <w:top w:val="nil"/>
              <w:left w:val="single" w:sz="4" w:space="0" w:color="auto"/>
              <w:bottom w:val="single" w:sz="4" w:space="0" w:color="auto"/>
              <w:right w:val="single" w:sz="4" w:space="0" w:color="auto"/>
            </w:tcBorders>
            <w:shd w:val="clear" w:color="000000" w:fill="F2F2F2"/>
            <w:hideMark/>
          </w:tcPr>
          <w:p w14:paraId="1F45385F"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000000" w:fill="F2F2F2"/>
            <w:hideMark/>
          </w:tcPr>
          <w:p w14:paraId="3D904750"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staff 'always' explained about medicines</w:t>
            </w:r>
          </w:p>
        </w:tc>
        <w:tc>
          <w:tcPr>
            <w:tcW w:w="1505" w:type="pct"/>
            <w:tcBorders>
              <w:top w:val="nil"/>
              <w:left w:val="nil"/>
              <w:bottom w:val="single" w:sz="4" w:space="0" w:color="auto"/>
              <w:right w:val="single" w:sz="4" w:space="0" w:color="auto"/>
            </w:tcBorders>
            <w:shd w:val="clear" w:color="000000" w:fill="F2F2F2"/>
            <w:hideMark/>
          </w:tcPr>
          <w:p w14:paraId="630CA7BE"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reported that staff "Always" explained about medicines before giving it to them.</w:t>
            </w:r>
          </w:p>
        </w:tc>
        <w:tc>
          <w:tcPr>
            <w:tcW w:w="801" w:type="pct"/>
            <w:tcBorders>
              <w:top w:val="nil"/>
              <w:left w:val="nil"/>
              <w:bottom w:val="single" w:sz="4" w:space="0" w:color="auto"/>
              <w:right w:val="single" w:sz="4" w:space="0" w:color="auto"/>
            </w:tcBorders>
            <w:shd w:val="clear" w:color="000000" w:fill="F2F2F2"/>
            <w:hideMark/>
          </w:tcPr>
          <w:p w14:paraId="778C2280"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000000" w:fill="F2F2F2"/>
            <w:noWrap/>
            <w:hideMark/>
          </w:tcPr>
          <w:p w14:paraId="561479B7" w14:textId="7882629A"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000000" w:fill="F2F2F2"/>
            <w:noWrap/>
            <w:hideMark/>
          </w:tcPr>
          <w:p w14:paraId="6A8E4D00" w14:textId="3D0D9A5E"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3F175E30" w14:textId="77777777" w:rsidTr="00806637">
        <w:trPr>
          <w:trHeight w:val="1061"/>
        </w:trPr>
        <w:tc>
          <w:tcPr>
            <w:tcW w:w="653" w:type="pct"/>
            <w:tcBorders>
              <w:top w:val="nil"/>
              <w:left w:val="single" w:sz="4" w:space="0" w:color="auto"/>
              <w:bottom w:val="single" w:sz="4" w:space="0" w:color="auto"/>
              <w:right w:val="single" w:sz="4" w:space="0" w:color="auto"/>
            </w:tcBorders>
            <w:shd w:val="clear" w:color="auto" w:fill="auto"/>
            <w:hideMark/>
          </w:tcPr>
          <w:p w14:paraId="06644875"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lastRenderedPageBreak/>
              <w:t>HCAHPS</w:t>
            </w:r>
          </w:p>
        </w:tc>
        <w:tc>
          <w:tcPr>
            <w:tcW w:w="907" w:type="pct"/>
            <w:tcBorders>
              <w:top w:val="nil"/>
              <w:left w:val="nil"/>
              <w:bottom w:val="single" w:sz="4" w:space="0" w:color="auto"/>
              <w:right w:val="single" w:sz="4" w:space="0" w:color="auto"/>
            </w:tcBorders>
            <w:shd w:val="clear" w:color="auto" w:fill="auto"/>
            <w:hideMark/>
          </w:tcPr>
          <w:p w14:paraId="503C6421"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reporting that doctors 'always' communicated well</w:t>
            </w:r>
          </w:p>
        </w:tc>
        <w:tc>
          <w:tcPr>
            <w:tcW w:w="1505" w:type="pct"/>
            <w:tcBorders>
              <w:top w:val="nil"/>
              <w:left w:val="nil"/>
              <w:bottom w:val="single" w:sz="4" w:space="0" w:color="auto"/>
              <w:right w:val="single" w:sz="4" w:space="0" w:color="auto"/>
            </w:tcBorders>
            <w:shd w:val="clear" w:color="auto" w:fill="auto"/>
            <w:hideMark/>
          </w:tcPr>
          <w:p w14:paraId="37DA2599"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who reported that their doctors "Always" communicated well.</w:t>
            </w:r>
          </w:p>
        </w:tc>
        <w:tc>
          <w:tcPr>
            <w:tcW w:w="801" w:type="pct"/>
            <w:tcBorders>
              <w:top w:val="nil"/>
              <w:left w:val="nil"/>
              <w:bottom w:val="single" w:sz="4" w:space="0" w:color="auto"/>
              <w:right w:val="single" w:sz="4" w:space="0" w:color="auto"/>
            </w:tcBorders>
            <w:shd w:val="clear" w:color="auto" w:fill="auto"/>
            <w:hideMark/>
          </w:tcPr>
          <w:p w14:paraId="46E12FBB"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auto" w:fill="auto"/>
            <w:noWrap/>
            <w:hideMark/>
          </w:tcPr>
          <w:p w14:paraId="47F0E7E8" w14:textId="4DE7DBB1"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auto" w:fill="auto"/>
            <w:noWrap/>
            <w:hideMark/>
          </w:tcPr>
          <w:p w14:paraId="7FFD9A5A" w14:textId="52E40372"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35AF4D29" w14:textId="77777777" w:rsidTr="00806637">
        <w:trPr>
          <w:trHeight w:val="980"/>
        </w:trPr>
        <w:tc>
          <w:tcPr>
            <w:tcW w:w="653" w:type="pct"/>
            <w:tcBorders>
              <w:top w:val="nil"/>
              <w:left w:val="single" w:sz="4" w:space="0" w:color="auto"/>
              <w:bottom w:val="single" w:sz="4" w:space="0" w:color="auto"/>
              <w:right w:val="single" w:sz="4" w:space="0" w:color="auto"/>
            </w:tcBorders>
            <w:shd w:val="clear" w:color="000000" w:fill="F2F2F2"/>
            <w:hideMark/>
          </w:tcPr>
          <w:p w14:paraId="7E853C10"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000000" w:fill="F2F2F2"/>
            <w:hideMark/>
          </w:tcPr>
          <w:p w14:paraId="585E2FD7"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reporting that nurses 'always' communicated well</w:t>
            </w:r>
          </w:p>
        </w:tc>
        <w:tc>
          <w:tcPr>
            <w:tcW w:w="1505" w:type="pct"/>
            <w:tcBorders>
              <w:top w:val="nil"/>
              <w:left w:val="nil"/>
              <w:bottom w:val="single" w:sz="4" w:space="0" w:color="auto"/>
              <w:right w:val="single" w:sz="4" w:space="0" w:color="auto"/>
            </w:tcBorders>
            <w:shd w:val="clear" w:color="000000" w:fill="F2F2F2"/>
            <w:hideMark/>
          </w:tcPr>
          <w:p w14:paraId="305E3907"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who reported that their nurses "Always" communicated well.</w:t>
            </w:r>
          </w:p>
        </w:tc>
        <w:tc>
          <w:tcPr>
            <w:tcW w:w="801" w:type="pct"/>
            <w:tcBorders>
              <w:top w:val="nil"/>
              <w:left w:val="nil"/>
              <w:bottom w:val="single" w:sz="4" w:space="0" w:color="auto"/>
              <w:right w:val="single" w:sz="4" w:space="0" w:color="auto"/>
            </w:tcBorders>
            <w:shd w:val="clear" w:color="000000" w:fill="F2F2F2"/>
            <w:hideMark/>
          </w:tcPr>
          <w:p w14:paraId="29BE86EE"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000000" w:fill="F2F2F2"/>
            <w:noWrap/>
            <w:hideMark/>
          </w:tcPr>
          <w:p w14:paraId="0D4B1395" w14:textId="106506B5"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000000" w:fill="F2F2F2"/>
            <w:noWrap/>
            <w:hideMark/>
          </w:tcPr>
          <w:p w14:paraId="143AFAAC" w14:textId="0EBEFC83"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6BC2E118" w14:textId="77777777" w:rsidTr="00806637">
        <w:trPr>
          <w:trHeight w:val="1601"/>
        </w:trPr>
        <w:tc>
          <w:tcPr>
            <w:tcW w:w="653" w:type="pct"/>
            <w:tcBorders>
              <w:top w:val="nil"/>
              <w:left w:val="single" w:sz="4" w:space="0" w:color="auto"/>
              <w:bottom w:val="single" w:sz="4" w:space="0" w:color="auto"/>
              <w:right w:val="single" w:sz="4" w:space="0" w:color="auto"/>
            </w:tcBorders>
            <w:shd w:val="clear" w:color="auto" w:fill="auto"/>
            <w:hideMark/>
          </w:tcPr>
          <w:p w14:paraId="212FEBF9"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auto" w:fill="auto"/>
            <w:hideMark/>
          </w:tcPr>
          <w:p w14:paraId="467C6D46"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they were given information about what to do during their recovery at home</w:t>
            </w:r>
          </w:p>
        </w:tc>
        <w:tc>
          <w:tcPr>
            <w:tcW w:w="1505" w:type="pct"/>
            <w:tcBorders>
              <w:top w:val="nil"/>
              <w:left w:val="nil"/>
              <w:bottom w:val="single" w:sz="4" w:space="0" w:color="auto"/>
              <w:right w:val="single" w:sz="4" w:space="0" w:color="auto"/>
            </w:tcBorders>
            <w:shd w:val="clear" w:color="auto" w:fill="auto"/>
            <w:hideMark/>
          </w:tcPr>
          <w:p w14:paraId="2E78EAA7"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at each hospital who reported that YES, they were given information about what to do during their recovery at home.</w:t>
            </w:r>
          </w:p>
        </w:tc>
        <w:tc>
          <w:tcPr>
            <w:tcW w:w="801" w:type="pct"/>
            <w:tcBorders>
              <w:top w:val="nil"/>
              <w:left w:val="nil"/>
              <w:bottom w:val="single" w:sz="4" w:space="0" w:color="auto"/>
              <w:right w:val="single" w:sz="4" w:space="0" w:color="auto"/>
            </w:tcBorders>
            <w:shd w:val="clear" w:color="auto" w:fill="auto"/>
            <w:hideMark/>
          </w:tcPr>
          <w:p w14:paraId="6FCEC26F"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auto" w:fill="auto"/>
            <w:noWrap/>
            <w:hideMark/>
          </w:tcPr>
          <w:p w14:paraId="6A061E3F" w14:textId="4FE9EE41"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auto" w:fill="auto"/>
            <w:noWrap/>
            <w:hideMark/>
          </w:tcPr>
          <w:p w14:paraId="07C355E5" w14:textId="5C660416"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73FC97C5" w14:textId="77777777" w:rsidTr="00806637">
        <w:trPr>
          <w:trHeight w:val="1196"/>
        </w:trPr>
        <w:tc>
          <w:tcPr>
            <w:tcW w:w="653" w:type="pct"/>
            <w:tcBorders>
              <w:top w:val="nil"/>
              <w:left w:val="single" w:sz="4" w:space="0" w:color="auto"/>
              <w:bottom w:val="single" w:sz="4" w:space="0" w:color="auto"/>
              <w:right w:val="single" w:sz="4" w:space="0" w:color="auto"/>
            </w:tcBorders>
            <w:shd w:val="clear" w:color="000000" w:fill="F2F2F2"/>
            <w:hideMark/>
          </w:tcPr>
          <w:p w14:paraId="2E424AAF"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000000" w:fill="F2F2F2"/>
            <w:hideMark/>
          </w:tcPr>
          <w:p w14:paraId="4037E3E1"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gave their hospital a rating of 9 or 10 (highest)</w:t>
            </w:r>
          </w:p>
        </w:tc>
        <w:tc>
          <w:tcPr>
            <w:tcW w:w="1505" w:type="pct"/>
            <w:tcBorders>
              <w:top w:val="nil"/>
              <w:left w:val="nil"/>
              <w:bottom w:val="single" w:sz="4" w:space="0" w:color="auto"/>
              <w:right w:val="single" w:sz="4" w:space="0" w:color="auto"/>
            </w:tcBorders>
            <w:shd w:val="clear" w:color="000000" w:fill="F2F2F2"/>
            <w:hideMark/>
          </w:tcPr>
          <w:p w14:paraId="3B2E1371"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gave their hospital a rating of 9 or 10 on a scale from 0 (lowest) to 10 (highest).</w:t>
            </w:r>
          </w:p>
        </w:tc>
        <w:tc>
          <w:tcPr>
            <w:tcW w:w="801" w:type="pct"/>
            <w:tcBorders>
              <w:top w:val="nil"/>
              <w:left w:val="nil"/>
              <w:bottom w:val="single" w:sz="4" w:space="0" w:color="auto"/>
              <w:right w:val="single" w:sz="4" w:space="0" w:color="auto"/>
            </w:tcBorders>
            <w:shd w:val="clear" w:color="000000" w:fill="F2F2F2"/>
            <w:hideMark/>
          </w:tcPr>
          <w:p w14:paraId="71ACB4AF"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000000" w:fill="F2F2F2"/>
            <w:noWrap/>
            <w:hideMark/>
          </w:tcPr>
          <w:p w14:paraId="099C873A" w14:textId="50B79CFA"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000000" w:fill="F2F2F2"/>
            <w:noWrap/>
            <w:hideMark/>
          </w:tcPr>
          <w:p w14:paraId="54FC740A" w14:textId="2F0E0C9F"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0709944B" w14:textId="77777777" w:rsidTr="00806637">
        <w:trPr>
          <w:trHeight w:val="971"/>
        </w:trPr>
        <w:tc>
          <w:tcPr>
            <w:tcW w:w="653" w:type="pct"/>
            <w:tcBorders>
              <w:top w:val="nil"/>
              <w:left w:val="single" w:sz="4" w:space="0" w:color="auto"/>
              <w:bottom w:val="single" w:sz="4" w:space="0" w:color="auto"/>
              <w:right w:val="single" w:sz="4" w:space="0" w:color="auto"/>
            </w:tcBorders>
            <w:shd w:val="clear" w:color="auto" w:fill="auto"/>
            <w:hideMark/>
          </w:tcPr>
          <w:p w14:paraId="3C574F3C"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auto" w:fill="auto"/>
            <w:hideMark/>
          </w:tcPr>
          <w:p w14:paraId="7C879592"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would definitely recommend the hospital</w:t>
            </w:r>
          </w:p>
        </w:tc>
        <w:tc>
          <w:tcPr>
            <w:tcW w:w="1505" w:type="pct"/>
            <w:tcBorders>
              <w:top w:val="nil"/>
              <w:left w:val="nil"/>
              <w:bottom w:val="single" w:sz="4" w:space="0" w:color="auto"/>
              <w:right w:val="single" w:sz="4" w:space="0" w:color="auto"/>
            </w:tcBorders>
            <w:shd w:val="clear" w:color="auto" w:fill="auto"/>
            <w:hideMark/>
          </w:tcPr>
          <w:p w14:paraId="78820E01"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Percentage of patients who reported YES, they would definitely recommend the hospital.</w:t>
            </w:r>
          </w:p>
        </w:tc>
        <w:tc>
          <w:tcPr>
            <w:tcW w:w="801" w:type="pct"/>
            <w:tcBorders>
              <w:top w:val="nil"/>
              <w:left w:val="nil"/>
              <w:bottom w:val="single" w:sz="4" w:space="0" w:color="auto"/>
              <w:right w:val="single" w:sz="4" w:space="0" w:color="auto"/>
            </w:tcBorders>
            <w:shd w:val="clear" w:color="auto" w:fill="auto"/>
            <w:hideMark/>
          </w:tcPr>
          <w:p w14:paraId="306021E4"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auto" w:fill="auto"/>
            <w:noWrap/>
            <w:hideMark/>
          </w:tcPr>
          <w:p w14:paraId="73010676" w14:textId="4906F585"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auto" w:fill="auto"/>
            <w:noWrap/>
            <w:hideMark/>
          </w:tcPr>
          <w:p w14:paraId="0961C685" w14:textId="2B05CD47"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61452571" w14:textId="77777777" w:rsidTr="00806637">
        <w:trPr>
          <w:trHeight w:val="1079"/>
        </w:trPr>
        <w:tc>
          <w:tcPr>
            <w:tcW w:w="653" w:type="pct"/>
            <w:tcBorders>
              <w:top w:val="nil"/>
              <w:left w:val="single" w:sz="4" w:space="0" w:color="auto"/>
              <w:bottom w:val="single" w:sz="4" w:space="0" w:color="auto"/>
              <w:right w:val="single" w:sz="4" w:space="0" w:color="auto"/>
            </w:tcBorders>
            <w:shd w:val="clear" w:color="000000" w:fill="F2F2F2"/>
            <w:hideMark/>
          </w:tcPr>
          <w:p w14:paraId="158AA8A9"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000000" w:fill="F2F2F2"/>
            <w:hideMark/>
          </w:tcPr>
          <w:p w14:paraId="037523B4"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their pain was 'always' well controlled.</w:t>
            </w:r>
          </w:p>
        </w:tc>
        <w:tc>
          <w:tcPr>
            <w:tcW w:w="1505" w:type="pct"/>
            <w:tcBorders>
              <w:top w:val="nil"/>
              <w:left w:val="nil"/>
              <w:bottom w:val="single" w:sz="4" w:space="0" w:color="auto"/>
              <w:right w:val="single" w:sz="4" w:space="0" w:color="auto"/>
            </w:tcBorders>
            <w:shd w:val="clear" w:color="000000" w:fill="F2F2F2"/>
            <w:hideMark/>
          </w:tcPr>
          <w:p w14:paraId="3FE76EBB"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reported that their pain was "Always" well controlled.</w:t>
            </w:r>
          </w:p>
        </w:tc>
        <w:tc>
          <w:tcPr>
            <w:tcW w:w="801" w:type="pct"/>
            <w:tcBorders>
              <w:top w:val="nil"/>
              <w:left w:val="nil"/>
              <w:bottom w:val="single" w:sz="4" w:space="0" w:color="auto"/>
              <w:right w:val="single" w:sz="4" w:space="0" w:color="auto"/>
            </w:tcBorders>
            <w:shd w:val="clear" w:color="000000" w:fill="F2F2F2"/>
            <w:hideMark/>
          </w:tcPr>
          <w:p w14:paraId="2C8FDA92"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000000" w:fill="F2F2F2"/>
            <w:noWrap/>
            <w:hideMark/>
          </w:tcPr>
          <w:p w14:paraId="25C0D654" w14:textId="18A0EE18"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000000" w:fill="F2F2F2"/>
            <w:noWrap/>
            <w:hideMark/>
          </w:tcPr>
          <w:p w14:paraId="71EB0C56" w14:textId="70DAC544"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74F747DB" w14:textId="77777777" w:rsidTr="00806637">
        <w:trPr>
          <w:trHeight w:val="1241"/>
        </w:trPr>
        <w:tc>
          <w:tcPr>
            <w:tcW w:w="653" w:type="pct"/>
            <w:tcBorders>
              <w:top w:val="nil"/>
              <w:left w:val="single" w:sz="4" w:space="0" w:color="auto"/>
              <w:bottom w:val="single" w:sz="4" w:space="0" w:color="auto"/>
              <w:right w:val="single" w:sz="4" w:space="0" w:color="auto"/>
            </w:tcBorders>
            <w:shd w:val="clear" w:color="auto" w:fill="auto"/>
            <w:hideMark/>
          </w:tcPr>
          <w:p w14:paraId="34BA56F7"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auto" w:fill="auto"/>
            <w:hideMark/>
          </w:tcPr>
          <w:p w14:paraId="6BA6FF52"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 area around their room was 'always' quiet at night</w:t>
            </w:r>
          </w:p>
        </w:tc>
        <w:tc>
          <w:tcPr>
            <w:tcW w:w="1505" w:type="pct"/>
            <w:tcBorders>
              <w:top w:val="nil"/>
              <w:left w:val="nil"/>
              <w:bottom w:val="single" w:sz="4" w:space="0" w:color="auto"/>
              <w:right w:val="single" w:sz="4" w:space="0" w:color="auto"/>
            </w:tcBorders>
            <w:shd w:val="clear" w:color="auto" w:fill="auto"/>
            <w:hideMark/>
          </w:tcPr>
          <w:p w14:paraId="009DD279"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w:t>
            </w:r>
            <w:r>
              <w:rPr>
                <w:rFonts w:asciiTheme="minorHAnsi" w:eastAsia="Times New Roman" w:hAnsiTheme="minorHAnsi" w:cs="Calibri"/>
                <w:sz w:val="18"/>
                <w:szCs w:val="18"/>
              </w:rPr>
              <w:t xml:space="preserve">esponding to the HCAHPS survey </w:t>
            </w:r>
            <w:r w:rsidRPr="001461F7">
              <w:rPr>
                <w:rFonts w:asciiTheme="minorHAnsi" w:eastAsia="Times New Roman" w:hAnsiTheme="minorHAnsi" w:cs="Calibri"/>
                <w:sz w:val="18"/>
                <w:szCs w:val="18"/>
              </w:rPr>
              <w:t>who reported that the area around their room was "Always" quiet at night.</w:t>
            </w:r>
          </w:p>
        </w:tc>
        <w:tc>
          <w:tcPr>
            <w:tcW w:w="801" w:type="pct"/>
            <w:tcBorders>
              <w:top w:val="nil"/>
              <w:left w:val="nil"/>
              <w:bottom w:val="single" w:sz="4" w:space="0" w:color="auto"/>
              <w:right w:val="single" w:sz="4" w:space="0" w:color="auto"/>
            </w:tcBorders>
            <w:shd w:val="clear" w:color="auto" w:fill="auto"/>
            <w:hideMark/>
          </w:tcPr>
          <w:p w14:paraId="41A00BCD"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auto" w:fill="auto"/>
            <w:noWrap/>
            <w:hideMark/>
          </w:tcPr>
          <w:p w14:paraId="33F198E2" w14:textId="13CEA489"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auto" w:fill="auto"/>
            <w:noWrap/>
            <w:hideMark/>
          </w:tcPr>
          <w:p w14:paraId="5682DA23" w14:textId="798AE5B8"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CE3B92" w:rsidRPr="001461F7" w14:paraId="381C9B66" w14:textId="77777777" w:rsidTr="00806637">
        <w:trPr>
          <w:trHeight w:val="1268"/>
        </w:trPr>
        <w:tc>
          <w:tcPr>
            <w:tcW w:w="653" w:type="pct"/>
            <w:tcBorders>
              <w:top w:val="nil"/>
              <w:left w:val="single" w:sz="4" w:space="0" w:color="auto"/>
              <w:bottom w:val="single" w:sz="4" w:space="0" w:color="auto"/>
              <w:right w:val="single" w:sz="4" w:space="0" w:color="auto"/>
            </w:tcBorders>
            <w:shd w:val="clear" w:color="000000" w:fill="F2F2F2"/>
            <w:hideMark/>
          </w:tcPr>
          <w:p w14:paraId="4D8C7FEA"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HCAHPS</w:t>
            </w:r>
          </w:p>
        </w:tc>
        <w:tc>
          <w:tcPr>
            <w:tcW w:w="907" w:type="pct"/>
            <w:tcBorders>
              <w:top w:val="nil"/>
              <w:left w:val="nil"/>
              <w:bottom w:val="single" w:sz="4" w:space="0" w:color="auto"/>
              <w:right w:val="single" w:sz="4" w:space="0" w:color="auto"/>
            </w:tcBorders>
            <w:shd w:val="clear" w:color="000000" w:fill="F2F2F2"/>
            <w:hideMark/>
          </w:tcPr>
          <w:p w14:paraId="22140874"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 of patients who reported that they 'always' received help as soon as they wanted</w:t>
            </w:r>
          </w:p>
        </w:tc>
        <w:tc>
          <w:tcPr>
            <w:tcW w:w="1505" w:type="pct"/>
            <w:tcBorders>
              <w:top w:val="nil"/>
              <w:left w:val="nil"/>
              <w:bottom w:val="single" w:sz="4" w:space="0" w:color="auto"/>
              <w:right w:val="single" w:sz="4" w:space="0" w:color="auto"/>
            </w:tcBorders>
            <w:shd w:val="clear" w:color="000000" w:fill="F2F2F2"/>
            <w:hideMark/>
          </w:tcPr>
          <w:p w14:paraId="759518D0"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who reported that they "Always" received help as soon as they wanted.</w:t>
            </w:r>
          </w:p>
        </w:tc>
        <w:tc>
          <w:tcPr>
            <w:tcW w:w="801" w:type="pct"/>
            <w:tcBorders>
              <w:top w:val="nil"/>
              <w:left w:val="nil"/>
              <w:bottom w:val="single" w:sz="4" w:space="0" w:color="auto"/>
              <w:right w:val="single" w:sz="4" w:space="0" w:color="auto"/>
            </w:tcBorders>
            <w:shd w:val="clear" w:color="000000" w:fill="F2F2F2"/>
            <w:hideMark/>
          </w:tcPr>
          <w:p w14:paraId="73E5D91F" w14:textId="77777777" w:rsidR="00CE3B92" w:rsidRPr="001461F7" w:rsidRDefault="00CE3B92"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nil"/>
              <w:left w:val="nil"/>
              <w:bottom w:val="single" w:sz="4" w:space="0" w:color="auto"/>
              <w:right w:val="single" w:sz="4" w:space="0" w:color="auto"/>
            </w:tcBorders>
            <w:shd w:val="clear" w:color="000000" w:fill="F2F2F2"/>
            <w:noWrap/>
            <w:hideMark/>
          </w:tcPr>
          <w:p w14:paraId="53C77A50" w14:textId="609BCEC2"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1/1/2011</w:t>
            </w:r>
          </w:p>
        </w:tc>
        <w:tc>
          <w:tcPr>
            <w:tcW w:w="572" w:type="pct"/>
            <w:tcBorders>
              <w:top w:val="nil"/>
              <w:left w:val="nil"/>
              <w:bottom w:val="single" w:sz="4" w:space="0" w:color="auto"/>
              <w:right w:val="single" w:sz="4" w:space="0" w:color="auto"/>
            </w:tcBorders>
            <w:shd w:val="clear" w:color="000000" w:fill="F2F2F2"/>
            <w:noWrap/>
            <w:hideMark/>
          </w:tcPr>
          <w:p w14:paraId="26AC393D" w14:textId="5457DFB0" w:rsidR="00CE3B92" w:rsidRPr="001461F7" w:rsidRDefault="00CE3B92" w:rsidP="00515CDF">
            <w:pPr>
              <w:spacing w:after="0" w:line="240" w:lineRule="auto"/>
              <w:jc w:val="center"/>
              <w:rPr>
                <w:rFonts w:asciiTheme="minorHAnsi" w:eastAsia="Times New Roman" w:hAnsiTheme="minorHAnsi" w:cs="Calibri"/>
                <w:sz w:val="18"/>
                <w:szCs w:val="18"/>
              </w:rPr>
            </w:pPr>
            <w:r>
              <w:rPr>
                <w:rFonts w:asciiTheme="minorHAnsi" w:eastAsia="Times New Roman" w:hAnsiTheme="minorHAnsi" w:cs="Calibri"/>
                <w:sz w:val="18"/>
                <w:szCs w:val="18"/>
              </w:rPr>
              <w:t>12</w:t>
            </w:r>
            <w:r w:rsidRPr="001461F7">
              <w:rPr>
                <w:rFonts w:asciiTheme="minorHAnsi" w:eastAsia="Times New Roman" w:hAnsiTheme="minorHAnsi" w:cs="Calibri"/>
                <w:sz w:val="18"/>
                <w:szCs w:val="18"/>
              </w:rPr>
              <w:t>/31/2013</w:t>
            </w:r>
          </w:p>
        </w:tc>
      </w:tr>
      <w:tr w:rsidR="001A3E5A" w:rsidRPr="001461F7" w14:paraId="1F808CDD" w14:textId="77777777" w:rsidTr="00806637">
        <w:trPr>
          <w:trHeight w:val="1268"/>
        </w:trPr>
        <w:tc>
          <w:tcPr>
            <w:tcW w:w="653" w:type="pct"/>
            <w:tcBorders>
              <w:top w:val="single" w:sz="4" w:space="0" w:color="auto"/>
              <w:left w:val="single" w:sz="4" w:space="0" w:color="auto"/>
              <w:bottom w:val="single" w:sz="4" w:space="0" w:color="auto"/>
              <w:right w:val="single" w:sz="4" w:space="0" w:color="auto"/>
            </w:tcBorders>
            <w:shd w:val="clear" w:color="auto" w:fill="auto"/>
          </w:tcPr>
          <w:p w14:paraId="753AEB09" w14:textId="77777777" w:rsidR="001A3E5A" w:rsidRPr="002C4472" w:rsidRDefault="001A3E5A" w:rsidP="00515CDF">
            <w:pPr>
              <w:spacing w:after="0" w:line="240" w:lineRule="auto"/>
              <w:rPr>
                <w:rFonts w:asciiTheme="minorHAnsi" w:eastAsia="Times New Roman" w:hAnsiTheme="minorHAnsi" w:cs="Calibri"/>
                <w:sz w:val="18"/>
                <w:szCs w:val="18"/>
              </w:rPr>
            </w:pPr>
            <w:r w:rsidRPr="002C4472">
              <w:rPr>
                <w:rFonts w:asciiTheme="minorHAnsi" w:eastAsia="Times New Roman" w:hAnsiTheme="minorHAnsi" w:cs="Calibri"/>
                <w:sz w:val="18"/>
                <w:szCs w:val="18"/>
              </w:rPr>
              <w:t>HCAHPS</w:t>
            </w:r>
          </w:p>
          <w:p w14:paraId="4B8A6928" w14:textId="370DD03E" w:rsidR="001A3E5A" w:rsidRPr="002C4472" w:rsidRDefault="001A3E5A" w:rsidP="00515CDF">
            <w:pPr>
              <w:spacing w:after="0" w:line="240" w:lineRule="auto"/>
              <w:rPr>
                <w:rFonts w:asciiTheme="minorHAnsi" w:eastAsia="Times New Roman" w:hAnsiTheme="minorHAnsi" w:cs="Calibri"/>
                <w:sz w:val="18"/>
                <w:szCs w:val="18"/>
              </w:rPr>
            </w:pPr>
          </w:p>
        </w:tc>
        <w:tc>
          <w:tcPr>
            <w:tcW w:w="907" w:type="pct"/>
            <w:tcBorders>
              <w:top w:val="single" w:sz="4" w:space="0" w:color="auto"/>
              <w:left w:val="nil"/>
              <w:bottom w:val="single" w:sz="4" w:space="0" w:color="auto"/>
              <w:right w:val="single" w:sz="4" w:space="0" w:color="auto"/>
            </w:tcBorders>
            <w:shd w:val="clear" w:color="auto" w:fill="auto"/>
          </w:tcPr>
          <w:p w14:paraId="17F0FD73" w14:textId="78282484" w:rsidR="001A3E5A" w:rsidRPr="002C4472" w:rsidRDefault="001A3E5A" w:rsidP="002C4472">
            <w:pPr>
              <w:spacing w:after="0" w:line="240" w:lineRule="auto"/>
              <w:rPr>
                <w:rFonts w:asciiTheme="minorHAnsi" w:eastAsia="Times New Roman" w:hAnsiTheme="minorHAnsi" w:cs="Calibri"/>
                <w:sz w:val="18"/>
                <w:szCs w:val="18"/>
              </w:rPr>
            </w:pPr>
            <w:r w:rsidRPr="002C4472">
              <w:rPr>
                <w:rFonts w:asciiTheme="minorHAnsi" w:eastAsia="Times New Roman" w:hAnsiTheme="minorHAnsi" w:cs="Calibri"/>
                <w:sz w:val="18"/>
                <w:szCs w:val="18"/>
              </w:rPr>
              <w:t>% of patients who "Strongly Agree" they understood their care when they left the hospital</w:t>
            </w:r>
          </w:p>
        </w:tc>
        <w:tc>
          <w:tcPr>
            <w:tcW w:w="1505" w:type="pct"/>
            <w:tcBorders>
              <w:top w:val="single" w:sz="4" w:space="0" w:color="auto"/>
              <w:left w:val="nil"/>
              <w:bottom w:val="single" w:sz="4" w:space="0" w:color="auto"/>
              <w:right w:val="single" w:sz="4" w:space="0" w:color="auto"/>
            </w:tcBorders>
            <w:shd w:val="clear" w:color="auto" w:fill="auto"/>
          </w:tcPr>
          <w:p w14:paraId="1337D70F" w14:textId="7A1C229F" w:rsidR="001A3E5A" w:rsidRPr="002C4472" w:rsidRDefault="001A3E5A" w:rsidP="001A3E5A">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The percentage of patients responding to the HCAHPS survey who reported that they "</w:t>
            </w:r>
            <w:r>
              <w:rPr>
                <w:rFonts w:asciiTheme="minorHAnsi" w:eastAsia="Times New Roman" w:hAnsiTheme="minorHAnsi" w:cs="Calibri"/>
                <w:sz w:val="18"/>
                <w:szCs w:val="18"/>
              </w:rPr>
              <w:t>Strongly Agreed</w:t>
            </w:r>
            <w:r w:rsidRPr="001461F7">
              <w:rPr>
                <w:rFonts w:asciiTheme="minorHAnsi" w:eastAsia="Times New Roman" w:hAnsiTheme="minorHAnsi" w:cs="Calibri"/>
                <w:sz w:val="18"/>
                <w:szCs w:val="18"/>
              </w:rPr>
              <w:t xml:space="preserve">" </w:t>
            </w:r>
            <w:r>
              <w:rPr>
                <w:rFonts w:asciiTheme="minorHAnsi" w:eastAsia="Times New Roman" w:hAnsiTheme="minorHAnsi" w:cs="Calibri"/>
                <w:sz w:val="18"/>
                <w:szCs w:val="18"/>
              </w:rPr>
              <w:t>they understood their care instructions at discharge.</w:t>
            </w:r>
          </w:p>
        </w:tc>
        <w:tc>
          <w:tcPr>
            <w:tcW w:w="801" w:type="pct"/>
            <w:tcBorders>
              <w:top w:val="single" w:sz="4" w:space="0" w:color="auto"/>
              <w:left w:val="nil"/>
              <w:bottom w:val="single" w:sz="4" w:space="0" w:color="auto"/>
              <w:right w:val="single" w:sz="4" w:space="0" w:color="auto"/>
            </w:tcBorders>
            <w:shd w:val="clear" w:color="auto" w:fill="auto"/>
          </w:tcPr>
          <w:p w14:paraId="6042095A" w14:textId="0263C481" w:rsidR="001A3E5A" w:rsidRPr="002C4472" w:rsidRDefault="001A3E5A" w:rsidP="00515CDF">
            <w:pPr>
              <w:spacing w:after="0" w:line="240" w:lineRule="auto"/>
              <w:rPr>
                <w:rFonts w:asciiTheme="minorHAnsi" w:eastAsia="Times New Roman" w:hAnsiTheme="minorHAnsi" w:cs="Calibri"/>
                <w:sz w:val="18"/>
                <w:szCs w:val="18"/>
              </w:rPr>
            </w:pPr>
            <w:r w:rsidRPr="001461F7">
              <w:rPr>
                <w:rFonts w:asciiTheme="minorHAnsi" w:eastAsia="Times New Roman" w:hAnsiTheme="minorHAnsi" w:cs="Calibri"/>
                <w:sz w:val="18"/>
                <w:szCs w:val="18"/>
              </w:rPr>
              <w:t>Patient Reported Data/Survey</w:t>
            </w:r>
          </w:p>
        </w:tc>
        <w:tc>
          <w:tcPr>
            <w:tcW w:w="562" w:type="pct"/>
            <w:tcBorders>
              <w:top w:val="single" w:sz="4" w:space="0" w:color="auto"/>
              <w:left w:val="nil"/>
              <w:bottom w:val="single" w:sz="4" w:space="0" w:color="auto"/>
              <w:right w:val="single" w:sz="4" w:space="0" w:color="auto"/>
            </w:tcBorders>
            <w:shd w:val="clear" w:color="auto" w:fill="auto"/>
            <w:noWrap/>
          </w:tcPr>
          <w:p w14:paraId="606DB6A8" w14:textId="1416FFCD" w:rsidR="001A3E5A" w:rsidRPr="002C4472" w:rsidRDefault="001A3E5A" w:rsidP="00515CDF">
            <w:pPr>
              <w:spacing w:after="0" w:line="240" w:lineRule="auto"/>
              <w:jc w:val="center"/>
              <w:rPr>
                <w:rFonts w:asciiTheme="minorHAnsi" w:eastAsia="Times New Roman" w:hAnsiTheme="minorHAnsi" w:cs="Calibri"/>
                <w:sz w:val="18"/>
                <w:szCs w:val="18"/>
              </w:rPr>
            </w:pPr>
            <w:r w:rsidRPr="002C4472">
              <w:rPr>
                <w:rFonts w:asciiTheme="minorHAnsi" w:eastAsia="Times New Roman" w:hAnsiTheme="minorHAnsi" w:cs="Calibri"/>
                <w:sz w:val="18"/>
                <w:szCs w:val="18"/>
              </w:rPr>
              <w:t>1/1/2011</w:t>
            </w:r>
          </w:p>
        </w:tc>
        <w:tc>
          <w:tcPr>
            <w:tcW w:w="572" w:type="pct"/>
            <w:tcBorders>
              <w:top w:val="single" w:sz="4" w:space="0" w:color="auto"/>
              <w:left w:val="nil"/>
              <w:bottom w:val="single" w:sz="4" w:space="0" w:color="auto"/>
              <w:right w:val="single" w:sz="4" w:space="0" w:color="auto"/>
            </w:tcBorders>
            <w:shd w:val="clear" w:color="auto" w:fill="auto"/>
            <w:noWrap/>
          </w:tcPr>
          <w:p w14:paraId="6C05399F" w14:textId="51601D55" w:rsidR="001A3E5A" w:rsidRPr="002C4472" w:rsidRDefault="001A3E5A" w:rsidP="00515CDF">
            <w:pPr>
              <w:spacing w:after="0" w:line="240" w:lineRule="auto"/>
              <w:jc w:val="center"/>
              <w:rPr>
                <w:rFonts w:asciiTheme="minorHAnsi" w:eastAsia="Times New Roman" w:hAnsiTheme="minorHAnsi" w:cs="Calibri"/>
                <w:sz w:val="18"/>
                <w:szCs w:val="18"/>
              </w:rPr>
            </w:pPr>
            <w:r w:rsidRPr="002C4472">
              <w:rPr>
                <w:rFonts w:asciiTheme="minorHAnsi" w:eastAsia="Times New Roman" w:hAnsiTheme="minorHAnsi" w:cs="Calibri"/>
                <w:sz w:val="18"/>
                <w:szCs w:val="18"/>
              </w:rPr>
              <w:t>12/31/2013</w:t>
            </w:r>
          </w:p>
        </w:tc>
      </w:tr>
    </w:tbl>
    <w:p w14:paraId="3C826169" w14:textId="77777777" w:rsidR="002C5E5E" w:rsidRDefault="002C5E5E" w:rsidP="000A3980">
      <w:pPr>
        <w:spacing w:before="200"/>
        <w:jc w:val="both"/>
        <w:rPr>
          <w:b/>
        </w:rPr>
      </w:pPr>
      <w:r w:rsidRPr="00FB7DE8">
        <w:rPr>
          <w:b/>
        </w:rPr>
        <w:t xml:space="preserve">Definition: </w:t>
      </w:r>
    </w:p>
    <w:p w14:paraId="33DE708A" w14:textId="31703603" w:rsidR="001461F7" w:rsidRPr="00806637" w:rsidRDefault="002C5E5E" w:rsidP="00806637">
      <w:r w:rsidRPr="001461F7">
        <w:lastRenderedPageBreak/>
        <w:t xml:space="preserve">All </w:t>
      </w:r>
      <w:r w:rsidR="00B53D54">
        <w:t xml:space="preserve">HCAHPS </w:t>
      </w:r>
      <w:r w:rsidR="006052C7">
        <w:t>scores</w:t>
      </w:r>
      <w:r w:rsidRPr="001461F7">
        <w:t xml:space="preserve"> were retrieved from CMS Hospital Compare as pre-calculated percentages. </w:t>
      </w:r>
      <w:r>
        <w:t xml:space="preserve">Where a hospital’s performance is not included on Hospital Compare because of small numbers, missing data, or because the measure does not apply, the measure is also not included in the </w:t>
      </w:r>
      <w:r w:rsidR="006052C7">
        <w:t>r</w:t>
      </w:r>
      <w:r w:rsidR="00806637">
        <w:t>eport.</w:t>
      </w:r>
    </w:p>
    <w:p w14:paraId="2D172E08" w14:textId="4625851A" w:rsidR="001461F7" w:rsidRPr="0000047F" w:rsidRDefault="00806637" w:rsidP="0000047F">
      <w:pPr>
        <w:pStyle w:val="Heading2"/>
      </w:pPr>
      <w:bookmarkStart w:id="7" w:name="_Toc416877842"/>
      <w:r>
        <w:t>Metric</w:t>
      </w:r>
      <w:r w:rsidR="000C072C">
        <w:t>s</w:t>
      </w:r>
      <w:r w:rsidR="001461F7" w:rsidRPr="0000047F">
        <w:t>: Consumer Assessment of He</w:t>
      </w:r>
      <w:r w:rsidR="001660FC" w:rsidRPr="0000047F">
        <w:t>althcare Providers and Systems</w:t>
      </w:r>
      <w:r w:rsidR="001461F7" w:rsidRPr="0000047F">
        <w:t xml:space="preserve"> </w:t>
      </w:r>
      <w:r w:rsidR="00CE3B92" w:rsidRPr="0000047F">
        <w:t xml:space="preserve">Clinician and Group Patient Centered Medical Home Survey </w:t>
      </w:r>
      <w:r w:rsidR="00447C86" w:rsidRPr="0000047F">
        <w:t>(CAHPS)</w:t>
      </w:r>
      <w:bookmarkEnd w:id="7"/>
    </w:p>
    <w:p w14:paraId="6D4DAA64" w14:textId="77777777" w:rsidR="004A2AAC" w:rsidRDefault="004A2AAC" w:rsidP="002D3487">
      <w:pPr>
        <w:spacing w:before="200"/>
      </w:pPr>
      <w:r w:rsidRPr="00793375">
        <w:rPr>
          <w:b/>
        </w:rPr>
        <w:t>Steward:</w:t>
      </w:r>
      <w:r>
        <w:t xml:space="preserve"> A</w:t>
      </w:r>
      <w:r w:rsidR="002D3487">
        <w:t xml:space="preserve">gency for </w:t>
      </w:r>
      <w:r>
        <w:t>H</w:t>
      </w:r>
      <w:r w:rsidR="002D3487">
        <w:t xml:space="preserve">ealthcare </w:t>
      </w:r>
      <w:r>
        <w:t>R</w:t>
      </w:r>
      <w:r w:rsidR="002D3487">
        <w:t xml:space="preserve">esearch and </w:t>
      </w:r>
      <w:r>
        <w:t>Q</w:t>
      </w:r>
      <w:r w:rsidR="002D3487">
        <w:t>uality</w:t>
      </w:r>
    </w:p>
    <w:p w14:paraId="578EB517" w14:textId="48762B8E" w:rsidR="00447C86" w:rsidRDefault="004A2AAC" w:rsidP="00793375">
      <w:r>
        <w:rPr>
          <w:b/>
        </w:rPr>
        <w:t xml:space="preserve">CHIA </w:t>
      </w:r>
      <w:r w:rsidRPr="00FB7DE8">
        <w:rPr>
          <w:b/>
        </w:rPr>
        <w:t xml:space="preserve">Data Source: </w:t>
      </w:r>
      <w:r>
        <w:t>Massachusett</w:t>
      </w:r>
      <w:r w:rsidR="001660FC">
        <w:t>s Health Quality Partners</w:t>
      </w:r>
      <w:r>
        <w:t xml:space="preserve">, </w:t>
      </w:r>
      <w:r w:rsidR="00B66C9F">
        <w:t xml:space="preserve">2014 </w:t>
      </w:r>
      <w:r>
        <w:t>Patient Experience Survey</w:t>
      </w:r>
      <w:r w:rsidR="001660FC">
        <w:t xml:space="preserve"> (PES)</w:t>
      </w:r>
      <w:r w:rsidR="00560AC4">
        <w:t xml:space="preserve">, </w:t>
      </w:r>
      <w:r w:rsidR="00447C86">
        <w:t xml:space="preserve">Adult </w:t>
      </w:r>
      <w:r w:rsidR="00DF3D0F">
        <w:t xml:space="preserve">PES </w:t>
      </w:r>
      <w:r w:rsidR="00447C86">
        <w:t>Measures</w:t>
      </w:r>
    </w:p>
    <w:p w14:paraId="18C60973" w14:textId="77777777" w:rsidR="005F4D46" w:rsidRDefault="005F4D46" w:rsidP="00793375">
      <w:r w:rsidRPr="00793375">
        <w:rPr>
          <w:b/>
        </w:rPr>
        <w:t>Population:</w:t>
      </w:r>
      <w:r>
        <w:t xml:space="preserve"> </w:t>
      </w:r>
      <w:r w:rsidR="0076660E">
        <w:t>Commercially insured p</w:t>
      </w:r>
      <w:r>
        <w:t xml:space="preserve">atients from the five largest health plans </w:t>
      </w:r>
      <w:r w:rsidR="0076660E">
        <w:t xml:space="preserve">in Massachusetts </w:t>
      </w:r>
      <w:r>
        <w:t>(Blue Cross Blue Shield of Massachusetts, Tufts Health Plan, Harvard Pilgrim Health Care, Fallon Community Health Plan, and Health New England)</w:t>
      </w:r>
      <w:r w:rsidR="009451A7">
        <w:t xml:space="preserve">, </w:t>
      </w:r>
      <w:r w:rsidR="002D0629">
        <w:t xml:space="preserve">Adult </w:t>
      </w:r>
      <w:r w:rsidR="001660FC">
        <w:t>Measures: A</w:t>
      </w:r>
      <w:r w:rsidR="009451A7">
        <w:t>ges 18+</w:t>
      </w:r>
      <w:r w:rsidR="002D0629">
        <w:t xml:space="preserve">, Pediatric </w:t>
      </w:r>
      <w:r w:rsidR="001660FC">
        <w:t>Measures:</w:t>
      </w:r>
      <w:r w:rsidR="002D0629">
        <w:t xml:space="preserve"> </w:t>
      </w:r>
      <w:r w:rsidR="001660FC">
        <w:t>A</w:t>
      </w:r>
      <w:r w:rsidR="002D0629">
        <w:t>ges 17 and younger</w:t>
      </w:r>
    </w:p>
    <w:p w14:paraId="00654F4E" w14:textId="77777777" w:rsidR="006A4BDE" w:rsidRDefault="006A4BDE" w:rsidP="006A4BDE">
      <w:pPr>
        <w:pStyle w:val="Heading3"/>
      </w:pPr>
      <w:bookmarkStart w:id="8" w:name="_Toc416877843"/>
      <w:r>
        <w:t>Adult Patient Experience Survey Measures</w:t>
      </w:r>
      <w:bookmarkEnd w:id="8"/>
    </w:p>
    <w:tbl>
      <w:tblPr>
        <w:tblW w:w="5000" w:type="pct"/>
        <w:tblLook w:val="04A0" w:firstRow="1" w:lastRow="0" w:firstColumn="1" w:lastColumn="0" w:noHBand="0" w:noVBand="1"/>
      </w:tblPr>
      <w:tblGrid>
        <w:gridCol w:w="1329"/>
        <w:gridCol w:w="1749"/>
        <w:gridCol w:w="2980"/>
        <w:gridCol w:w="1367"/>
        <w:gridCol w:w="1065"/>
        <w:gridCol w:w="1086"/>
      </w:tblGrid>
      <w:tr w:rsidR="001461F7" w:rsidRPr="001461F7" w14:paraId="7899E5D2" w14:textId="77777777" w:rsidTr="0082069E">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49A02499"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1FA8E371"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Measure </w:t>
            </w:r>
            <w:r w:rsidRPr="001461F7">
              <w:rPr>
                <w:rFonts w:asciiTheme="minorHAnsi" w:eastAsia="Times New Roman" w:hAnsiTheme="minorHAnsi" w:cs="Calibri"/>
                <w:b/>
                <w:bCs/>
                <w:color w:val="FFFFFF" w:themeColor="background1"/>
                <w:sz w:val="18"/>
                <w:szCs w:val="18"/>
              </w:rPr>
              <w:t>Name</w:t>
            </w:r>
            <w:r>
              <w:rPr>
                <w:rFonts w:asciiTheme="minorHAnsi" w:eastAsia="Times New Roman" w:hAnsiTheme="minorHAnsi" w:cs="Calibri"/>
                <w:b/>
                <w:bCs/>
                <w:color w:val="FFFFFF" w:themeColor="background1"/>
                <w:sz w:val="18"/>
                <w:szCs w:val="18"/>
              </w:rPr>
              <w:t xml:space="preserv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2D2A3075"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4691BA24" w14:textId="77777777" w:rsidR="001461F7" w:rsidRPr="001461F7" w:rsidRDefault="00734D5D" w:rsidP="0082069E">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 xml:space="preserve">Primary </w:t>
            </w:r>
            <w:r w:rsidR="001461F7" w:rsidRPr="001461F7">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5F9ED569"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6B6E1148" w14:textId="77777777" w:rsidR="001461F7" w:rsidRPr="001461F7" w:rsidRDefault="001461F7" w:rsidP="0082069E">
            <w:pPr>
              <w:spacing w:after="0" w:line="240" w:lineRule="auto"/>
              <w:jc w:val="center"/>
              <w:rPr>
                <w:rFonts w:asciiTheme="minorHAnsi" w:eastAsia="Times New Roman" w:hAnsiTheme="minorHAnsi" w:cs="Calibri"/>
                <w:b/>
                <w:bCs/>
                <w:color w:val="FFFFFF" w:themeColor="background1"/>
                <w:sz w:val="18"/>
                <w:szCs w:val="18"/>
              </w:rPr>
            </w:pPr>
            <w:r w:rsidRPr="001461F7">
              <w:rPr>
                <w:rFonts w:asciiTheme="minorHAnsi" w:eastAsia="Times New Roman" w:hAnsiTheme="minorHAnsi" w:cs="Calibri"/>
                <w:b/>
                <w:bCs/>
                <w:color w:val="FFFFFF" w:themeColor="background1"/>
                <w:sz w:val="18"/>
                <w:szCs w:val="18"/>
              </w:rPr>
              <w:t>Measure end date</w:t>
            </w:r>
          </w:p>
        </w:tc>
      </w:tr>
      <w:tr w:rsidR="001461F7" w:rsidRPr="006E74B9" w14:paraId="530DCF15" w14:textId="77777777" w:rsidTr="00B76036">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4312B46E" w14:textId="77777777" w:rsidR="001461F7" w:rsidRPr="006E74B9" w:rsidRDefault="001461F7" w:rsidP="0082069E">
            <w:pPr>
              <w:rPr>
                <w:rFonts w:asciiTheme="minorHAnsi" w:hAnsiTheme="minorHAnsi"/>
                <w:color w:val="000000"/>
                <w:sz w:val="18"/>
                <w:szCs w:val="18"/>
              </w:rPr>
            </w:pPr>
            <w:r>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3FA0C5A4"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Organizational Access</w:t>
            </w:r>
          </w:p>
        </w:tc>
        <w:tc>
          <w:tcPr>
            <w:tcW w:w="1556" w:type="pct"/>
            <w:tcBorders>
              <w:top w:val="single" w:sz="4" w:space="0" w:color="auto"/>
              <w:left w:val="nil"/>
              <w:bottom w:val="single" w:sz="4" w:space="0" w:color="auto"/>
              <w:right w:val="single" w:sz="4" w:space="0" w:color="auto"/>
            </w:tcBorders>
            <w:shd w:val="clear" w:color="auto" w:fill="auto"/>
          </w:tcPr>
          <w:p w14:paraId="15CAEAB7" w14:textId="77777777" w:rsidR="001461F7" w:rsidRPr="006E74B9" w:rsidRDefault="00B76036" w:rsidP="00632B9F">
            <w:pPr>
              <w:rPr>
                <w:rFonts w:asciiTheme="minorHAnsi" w:hAnsiTheme="minorHAnsi"/>
                <w:color w:val="000000"/>
                <w:sz w:val="18"/>
                <w:szCs w:val="18"/>
              </w:rPr>
            </w:pPr>
            <w:r>
              <w:rPr>
                <w:rFonts w:asciiTheme="minorHAnsi" w:hAnsiTheme="minorHAnsi"/>
                <w:color w:val="000000"/>
                <w:sz w:val="18"/>
                <w:szCs w:val="18"/>
              </w:rPr>
              <w:t>The p</w:t>
            </w:r>
            <w:r w:rsidR="00AA43BD">
              <w:rPr>
                <w:rFonts w:asciiTheme="minorHAnsi" w:hAnsiTheme="minorHAnsi"/>
                <w:color w:val="000000"/>
                <w:sz w:val="18"/>
                <w:szCs w:val="18"/>
              </w:rPr>
              <w:t>ercent</w:t>
            </w:r>
            <w:r>
              <w:rPr>
                <w:rFonts w:asciiTheme="minorHAnsi" w:hAnsiTheme="minorHAnsi"/>
                <w:color w:val="000000"/>
                <w:sz w:val="18"/>
                <w:szCs w:val="18"/>
              </w:rPr>
              <w:t xml:space="preserve">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Pr="001461F7">
              <w:rPr>
                <w:rFonts w:asciiTheme="minorHAnsi" w:eastAsia="Times New Roman" w:hAnsiTheme="minorHAnsi" w:cs="Calibri"/>
                <w:sz w:val="18"/>
                <w:szCs w:val="18"/>
              </w:rPr>
              <w:t xml:space="preserve"> survey</w:t>
            </w:r>
            <w:r>
              <w:rPr>
                <w:rFonts w:asciiTheme="minorHAnsi" w:eastAsia="Times New Roman" w:hAnsiTheme="minorHAnsi" w:cs="Calibri"/>
                <w:sz w:val="18"/>
                <w:szCs w:val="18"/>
              </w:rPr>
              <w:t xml:space="preserve"> who were </w:t>
            </w:r>
            <w:r w:rsidR="00AA43BD">
              <w:rPr>
                <w:rFonts w:asciiTheme="minorHAnsi" w:hAnsiTheme="minorHAnsi"/>
                <w:color w:val="000000"/>
                <w:sz w:val="18"/>
                <w:szCs w:val="18"/>
              </w:rPr>
              <w:t>satisf</w:t>
            </w:r>
            <w:r>
              <w:rPr>
                <w:rFonts w:asciiTheme="minorHAnsi" w:hAnsiTheme="minorHAnsi"/>
                <w:color w:val="000000"/>
                <w:sz w:val="18"/>
                <w:szCs w:val="18"/>
              </w:rPr>
              <w:t>ied</w:t>
            </w:r>
            <w:r w:rsidR="00AA43BD">
              <w:rPr>
                <w:rFonts w:asciiTheme="minorHAnsi" w:hAnsiTheme="minorHAnsi"/>
                <w:color w:val="000000"/>
                <w:sz w:val="18"/>
                <w:szCs w:val="18"/>
              </w:rPr>
              <w:t xml:space="preserve"> with </w:t>
            </w:r>
            <w:r>
              <w:rPr>
                <w:rFonts w:asciiTheme="minorHAnsi" w:hAnsiTheme="minorHAnsi"/>
                <w:color w:val="000000"/>
                <w:sz w:val="18"/>
                <w:szCs w:val="18"/>
              </w:rPr>
              <w:t xml:space="preserve">their ability to </w:t>
            </w:r>
            <w:r w:rsidR="00AA43BD">
              <w:rPr>
                <w:rFonts w:asciiTheme="minorHAnsi" w:hAnsiTheme="minorHAnsi"/>
                <w:color w:val="000000"/>
                <w:sz w:val="18"/>
                <w:szCs w:val="18"/>
              </w:rPr>
              <w:t>get timely appointments, care, and information</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249B228F"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6E8984A3"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2CB2665D" w14:textId="7871C43F" w:rsidR="001461F7" w:rsidRPr="006E74B9" w:rsidRDefault="001461F7" w:rsidP="00CE3B92">
            <w:pPr>
              <w:rPr>
                <w:rFonts w:asciiTheme="minorHAnsi" w:hAnsiTheme="minorHAnsi"/>
                <w:color w:val="000000"/>
                <w:sz w:val="18"/>
                <w:szCs w:val="18"/>
              </w:rPr>
            </w:pPr>
            <w:r w:rsidRPr="006E74B9">
              <w:rPr>
                <w:rFonts w:asciiTheme="minorHAnsi" w:hAnsiTheme="minorHAnsi"/>
                <w:color w:val="000000"/>
                <w:sz w:val="18"/>
                <w:szCs w:val="18"/>
              </w:rPr>
              <w:t>12/31/</w:t>
            </w:r>
            <w:r w:rsidR="00CE3B92" w:rsidRPr="006E74B9">
              <w:rPr>
                <w:rFonts w:asciiTheme="minorHAnsi" w:hAnsiTheme="minorHAnsi"/>
                <w:color w:val="000000"/>
                <w:sz w:val="18"/>
                <w:szCs w:val="18"/>
              </w:rPr>
              <w:t>201</w:t>
            </w:r>
            <w:r w:rsidR="00CE3B92">
              <w:rPr>
                <w:rFonts w:asciiTheme="minorHAnsi" w:hAnsiTheme="minorHAnsi"/>
                <w:color w:val="000000"/>
                <w:sz w:val="18"/>
                <w:szCs w:val="18"/>
              </w:rPr>
              <w:t>4</w:t>
            </w:r>
          </w:p>
        </w:tc>
      </w:tr>
      <w:tr w:rsidR="001461F7" w:rsidRPr="006E74B9" w14:paraId="72A23C4B" w14:textId="77777777" w:rsidTr="000A3980">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3CE358A"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28E8D1F7"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Office Staff</w:t>
            </w:r>
          </w:p>
        </w:tc>
        <w:tc>
          <w:tcPr>
            <w:tcW w:w="1556" w:type="pct"/>
            <w:tcBorders>
              <w:top w:val="single" w:sz="4" w:space="0" w:color="auto"/>
              <w:left w:val="nil"/>
              <w:bottom w:val="single" w:sz="4" w:space="0" w:color="auto"/>
              <w:right w:val="single" w:sz="4" w:space="0" w:color="auto"/>
            </w:tcBorders>
            <w:shd w:val="clear" w:color="auto" w:fill="auto"/>
          </w:tcPr>
          <w:p w14:paraId="06CBBA9D"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AA43BD">
              <w:rPr>
                <w:rFonts w:asciiTheme="minorHAnsi" w:hAnsiTheme="minorHAnsi"/>
                <w:color w:val="000000"/>
                <w:sz w:val="18"/>
                <w:szCs w:val="18"/>
              </w:rPr>
              <w:t>satisf</w:t>
            </w:r>
            <w:r>
              <w:rPr>
                <w:rFonts w:asciiTheme="minorHAnsi" w:hAnsiTheme="minorHAnsi"/>
                <w:color w:val="000000"/>
                <w:sz w:val="18"/>
                <w:szCs w:val="18"/>
              </w:rPr>
              <w:t>ied</w:t>
            </w:r>
            <w:r w:rsidR="00AA43BD">
              <w:rPr>
                <w:rFonts w:asciiTheme="minorHAnsi" w:hAnsiTheme="minorHAnsi"/>
                <w:color w:val="000000"/>
                <w:sz w:val="18"/>
                <w:szCs w:val="18"/>
              </w:rPr>
              <w:t xml:space="preserve"> </w:t>
            </w:r>
            <w:r>
              <w:rPr>
                <w:rFonts w:asciiTheme="minorHAnsi" w:hAnsiTheme="minorHAnsi"/>
                <w:color w:val="000000"/>
                <w:sz w:val="18"/>
                <w:szCs w:val="18"/>
              </w:rPr>
              <w:t>that they received</w:t>
            </w:r>
            <w:r w:rsidR="00AA43BD">
              <w:rPr>
                <w:rFonts w:asciiTheme="minorHAnsi" w:hAnsiTheme="minorHAnsi"/>
                <w:color w:val="000000"/>
                <w:sz w:val="18"/>
                <w:szCs w:val="18"/>
              </w:rPr>
              <w:t xml:space="preserve"> quality care from staff in the </w:t>
            </w:r>
            <w:r>
              <w:rPr>
                <w:rFonts w:asciiTheme="minorHAnsi" w:hAnsiTheme="minorHAnsi"/>
                <w:color w:val="000000"/>
                <w:sz w:val="18"/>
                <w:szCs w:val="18"/>
              </w:rPr>
              <w:t>d</w:t>
            </w:r>
            <w:r w:rsidR="00AA43BD">
              <w:rPr>
                <w:rFonts w:asciiTheme="minorHAnsi" w:hAnsiTheme="minorHAnsi"/>
                <w:color w:val="000000"/>
                <w:sz w:val="18"/>
                <w:szCs w:val="18"/>
              </w:rPr>
              <w:t>octor</w:t>
            </w:r>
            <w:r w:rsidR="0012522D">
              <w:rPr>
                <w:rFonts w:asciiTheme="minorHAnsi" w:hAnsiTheme="minorHAnsi"/>
                <w:color w:val="000000"/>
                <w:sz w:val="18"/>
                <w:szCs w:val="18"/>
              </w:rPr>
              <w:t>’</w:t>
            </w:r>
            <w:r w:rsidR="00AA43BD">
              <w:rPr>
                <w:rFonts w:asciiTheme="minorHAnsi" w:hAnsiTheme="minorHAnsi"/>
                <w:color w:val="000000"/>
                <w:sz w:val="18"/>
                <w:szCs w:val="18"/>
              </w:rPr>
              <w:t>s</w:t>
            </w:r>
            <w:r w:rsidR="0012522D">
              <w:rPr>
                <w:rFonts w:asciiTheme="minorHAnsi" w:hAnsiTheme="minorHAnsi"/>
                <w:color w:val="000000"/>
                <w:sz w:val="18"/>
                <w:szCs w:val="18"/>
              </w:rPr>
              <w:t xml:space="preserve"> </w:t>
            </w:r>
            <w:r w:rsidR="00AA43BD">
              <w:rPr>
                <w:rFonts w:asciiTheme="minorHAnsi" w:hAnsiTheme="minorHAnsi"/>
                <w:color w:val="000000"/>
                <w:sz w:val="18"/>
                <w:szCs w:val="18"/>
              </w:rPr>
              <w:t>office</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50C2D042"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5CBC48C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3E418543" w14:textId="3F8297AD" w:rsidR="001461F7" w:rsidRPr="006E74B9" w:rsidRDefault="001461F7" w:rsidP="00CE3B92">
            <w:pPr>
              <w:rPr>
                <w:rFonts w:asciiTheme="minorHAnsi" w:hAnsiTheme="minorHAnsi"/>
                <w:color w:val="000000"/>
                <w:sz w:val="18"/>
                <w:szCs w:val="18"/>
              </w:rPr>
            </w:pPr>
            <w:r w:rsidRPr="006E74B9">
              <w:rPr>
                <w:rFonts w:asciiTheme="minorHAnsi" w:hAnsiTheme="minorHAnsi"/>
                <w:color w:val="000000"/>
                <w:sz w:val="18"/>
                <w:szCs w:val="18"/>
              </w:rPr>
              <w:t>12/31/</w:t>
            </w:r>
            <w:r w:rsidR="00CE3B92" w:rsidRPr="006E74B9">
              <w:rPr>
                <w:rFonts w:asciiTheme="minorHAnsi" w:hAnsiTheme="minorHAnsi"/>
                <w:color w:val="000000"/>
                <w:sz w:val="18"/>
                <w:szCs w:val="18"/>
              </w:rPr>
              <w:t>201</w:t>
            </w:r>
            <w:r w:rsidR="00CE3B92">
              <w:rPr>
                <w:rFonts w:asciiTheme="minorHAnsi" w:hAnsiTheme="minorHAnsi"/>
                <w:color w:val="000000"/>
                <w:sz w:val="18"/>
                <w:szCs w:val="18"/>
              </w:rPr>
              <w:t>4</w:t>
            </w:r>
          </w:p>
        </w:tc>
      </w:tr>
      <w:tr w:rsidR="001461F7" w:rsidRPr="006E74B9" w14:paraId="6B5482F2" w14:textId="77777777" w:rsidTr="00B76036">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54F00B19"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17E68FAF"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Integration of Care</w:t>
            </w:r>
          </w:p>
        </w:tc>
        <w:tc>
          <w:tcPr>
            <w:tcW w:w="1556" w:type="pct"/>
            <w:tcBorders>
              <w:top w:val="single" w:sz="4" w:space="0" w:color="auto"/>
              <w:left w:val="nil"/>
              <w:bottom w:val="single" w:sz="4" w:space="0" w:color="auto"/>
              <w:right w:val="single" w:sz="4" w:space="0" w:color="auto"/>
            </w:tcBorders>
            <w:shd w:val="clear" w:color="auto" w:fill="auto"/>
          </w:tcPr>
          <w:p w14:paraId="0322D8A3"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4E6B71">
              <w:rPr>
                <w:rFonts w:asciiTheme="minorHAnsi" w:hAnsiTheme="minorHAnsi"/>
                <w:color w:val="000000"/>
                <w:sz w:val="18"/>
                <w:szCs w:val="18"/>
              </w:rPr>
              <w:t>satisf</w:t>
            </w:r>
            <w:r>
              <w:rPr>
                <w:rFonts w:asciiTheme="minorHAnsi" w:hAnsiTheme="minorHAnsi"/>
                <w:color w:val="000000"/>
                <w:sz w:val="18"/>
                <w:szCs w:val="18"/>
              </w:rPr>
              <w:t>ied</w:t>
            </w:r>
            <w:r w:rsidR="004E6B71">
              <w:rPr>
                <w:rFonts w:asciiTheme="minorHAnsi" w:hAnsiTheme="minorHAnsi"/>
                <w:color w:val="000000"/>
                <w:sz w:val="18"/>
                <w:szCs w:val="18"/>
              </w:rPr>
              <w:t xml:space="preserve"> with how well doctors coordinate care</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6ADD9132"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51181CE8"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2519D6DC" w14:textId="1001AC2E" w:rsidR="001461F7" w:rsidRPr="006E74B9" w:rsidRDefault="001461F7" w:rsidP="00CE3B92">
            <w:pPr>
              <w:rPr>
                <w:rFonts w:asciiTheme="minorHAnsi" w:hAnsiTheme="minorHAnsi"/>
                <w:color w:val="000000"/>
                <w:sz w:val="18"/>
                <w:szCs w:val="18"/>
              </w:rPr>
            </w:pPr>
            <w:r w:rsidRPr="006E74B9">
              <w:rPr>
                <w:rFonts w:asciiTheme="minorHAnsi" w:hAnsiTheme="minorHAnsi"/>
                <w:color w:val="000000"/>
                <w:sz w:val="18"/>
                <w:szCs w:val="18"/>
              </w:rPr>
              <w:t>12/31/</w:t>
            </w:r>
            <w:r w:rsidR="00CE3B92" w:rsidRPr="006E74B9">
              <w:rPr>
                <w:rFonts w:asciiTheme="minorHAnsi" w:hAnsiTheme="minorHAnsi"/>
                <w:color w:val="000000"/>
                <w:sz w:val="18"/>
                <w:szCs w:val="18"/>
              </w:rPr>
              <w:t>201</w:t>
            </w:r>
            <w:r w:rsidR="00CE3B92">
              <w:rPr>
                <w:rFonts w:asciiTheme="minorHAnsi" w:hAnsiTheme="minorHAnsi"/>
                <w:color w:val="000000"/>
                <w:sz w:val="18"/>
                <w:szCs w:val="18"/>
              </w:rPr>
              <w:t>4</w:t>
            </w:r>
          </w:p>
        </w:tc>
      </w:tr>
      <w:tr w:rsidR="001461F7" w:rsidRPr="006E74B9" w14:paraId="7689F0C0" w14:textId="77777777" w:rsidTr="00B76036">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243073A1"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71D0A8C0"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Communication</w:t>
            </w:r>
          </w:p>
        </w:tc>
        <w:tc>
          <w:tcPr>
            <w:tcW w:w="1556" w:type="pct"/>
            <w:tcBorders>
              <w:top w:val="single" w:sz="4" w:space="0" w:color="auto"/>
              <w:left w:val="nil"/>
              <w:bottom w:val="single" w:sz="4" w:space="0" w:color="auto"/>
              <w:right w:val="single" w:sz="4" w:space="0" w:color="auto"/>
            </w:tcBorders>
            <w:shd w:val="clear" w:color="auto" w:fill="auto"/>
          </w:tcPr>
          <w:p w14:paraId="6CE6AF9B"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4E6B71">
              <w:rPr>
                <w:rFonts w:asciiTheme="minorHAnsi" w:hAnsiTheme="minorHAnsi"/>
                <w:color w:val="000000"/>
                <w:sz w:val="18"/>
                <w:szCs w:val="18"/>
              </w:rPr>
              <w:t>satisf</w:t>
            </w:r>
            <w:r>
              <w:rPr>
                <w:rFonts w:asciiTheme="minorHAnsi" w:hAnsiTheme="minorHAnsi"/>
                <w:color w:val="000000"/>
                <w:sz w:val="18"/>
                <w:szCs w:val="18"/>
              </w:rPr>
              <w:t>ied</w:t>
            </w:r>
            <w:r w:rsidR="004E6B71">
              <w:rPr>
                <w:rFonts w:asciiTheme="minorHAnsi" w:hAnsiTheme="minorHAnsi"/>
                <w:color w:val="000000"/>
                <w:sz w:val="18"/>
                <w:szCs w:val="18"/>
              </w:rPr>
              <w:t xml:space="preserve"> with how well doctors communicate with patients.</w:t>
            </w:r>
          </w:p>
        </w:tc>
        <w:tc>
          <w:tcPr>
            <w:tcW w:w="714" w:type="pct"/>
            <w:tcBorders>
              <w:top w:val="single" w:sz="4" w:space="0" w:color="auto"/>
              <w:left w:val="nil"/>
              <w:bottom w:val="single" w:sz="4" w:space="0" w:color="auto"/>
              <w:right w:val="single" w:sz="4" w:space="0" w:color="auto"/>
            </w:tcBorders>
            <w:shd w:val="clear" w:color="auto" w:fill="auto"/>
          </w:tcPr>
          <w:p w14:paraId="68EBAFD6"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34C59F8D"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1C86B2E6" w14:textId="2B371C81" w:rsidR="001461F7" w:rsidRPr="006E74B9" w:rsidRDefault="001461F7" w:rsidP="00CE3B92">
            <w:pPr>
              <w:rPr>
                <w:rFonts w:asciiTheme="minorHAnsi" w:hAnsiTheme="minorHAnsi"/>
                <w:color w:val="000000"/>
                <w:sz w:val="18"/>
                <w:szCs w:val="18"/>
              </w:rPr>
            </w:pPr>
            <w:r w:rsidRPr="006E74B9">
              <w:rPr>
                <w:rFonts w:asciiTheme="minorHAnsi" w:hAnsiTheme="minorHAnsi"/>
                <w:color w:val="000000"/>
                <w:sz w:val="18"/>
                <w:szCs w:val="18"/>
              </w:rPr>
              <w:t>12/31/</w:t>
            </w:r>
            <w:r w:rsidR="00CE3B92" w:rsidRPr="006E74B9">
              <w:rPr>
                <w:rFonts w:asciiTheme="minorHAnsi" w:hAnsiTheme="minorHAnsi"/>
                <w:color w:val="000000"/>
                <w:sz w:val="18"/>
                <w:szCs w:val="18"/>
              </w:rPr>
              <w:t>201</w:t>
            </w:r>
            <w:r w:rsidR="00CE3B92">
              <w:rPr>
                <w:rFonts w:asciiTheme="minorHAnsi" w:hAnsiTheme="minorHAnsi"/>
                <w:color w:val="000000"/>
                <w:sz w:val="18"/>
                <w:szCs w:val="18"/>
              </w:rPr>
              <w:t>4</w:t>
            </w:r>
          </w:p>
        </w:tc>
      </w:tr>
      <w:tr w:rsidR="001461F7" w:rsidRPr="006E74B9" w14:paraId="64A40C9C" w14:textId="77777777" w:rsidTr="00B76036">
        <w:trPr>
          <w:trHeight w:val="106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24E5F5BB" w14:textId="77777777" w:rsidR="001461F7" w:rsidRDefault="001461F7" w:rsidP="0082069E">
            <w:r w:rsidRPr="004A2326">
              <w:rPr>
                <w:rFonts w:asciiTheme="minorHAnsi" w:hAnsiTheme="minorHAnsi"/>
                <w:color w:val="000000"/>
                <w:sz w:val="18"/>
                <w:szCs w:val="18"/>
              </w:rPr>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2510C3B4"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Knowledge of Patient</w:t>
            </w:r>
          </w:p>
        </w:tc>
        <w:tc>
          <w:tcPr>
            <w:tcW w:w="1556" w:type="pct"/>
            <w:tcBorders>
              <w:top w:val="single" w:sz="4" w:space="0" w:color="auto"/>
              <w:left w:val="nil"/>
              <w:bottom w:val="single" w:sz="4" w:space="0" w:color="auto"/>
              <w:right w:val="single" w:sz="4" w:space="0" w:color="auto"/>
            </w:tcBorders>
            <w:shd w:val="clear" w:color="auto" w:fill="auto"/>
          </w:tcPr>
          <w:p w14:paraId="0F308FC9" w14:textId="77777777" w:rsidR="001461F7" w:rsidRPr="006E74B9" w:rsidRDefault="00B76036" w:rsidP="00B76036">
            <w:pPr>
              <w:rPr>
                <w:rFonts w:asciiTheme="minorHAnsi" w:hAnsiTheme="minorHAnsi"/>
                <w:color w:val="000000"/>
                <w:sz w:val="18"/>
                <w:szCs w:val="18"/>
              </w:rPr>
            </w:pPr>
            <w:r>
              <w:rPr>
                <w:rFonts w:asciiTheme="minorHAnsi" w:hAnsiTheme="minorHAnsi"/>
                <w:color w:val="000000"/>
                <w:sz w:val="18"/>
                <w:szCs w:val="18"/>
              </w:rPr>
              <w:t xml:space="preserve">The percentage </w:t>
            </w:r>
            <w:r>
              <w:rPr>
                <w:rFonts w:asciiTheme="minorHAnsi" w:eastAsia="Times New Roman" w:hAnsiTheme="minorHAnsi" w:cs="Calibri"/>
                <w:sz w:val="18"/>
                <w:szCs w:val="18"/>
              </w:rPr>
              <w:t xml:space="preserve">of patients who 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who were </w:t>
            </w:r>
            <w:r w:rsidR="004E6B71">
              <w:rPr>
                <w:rFonts w:asciiTheme="minorHAnsi" w:hAnsiTheme="minorHAnsi"/>
                <w:color w:val="000000"/>
                <w:sz w:val="18"/>
                <w:szCs w:val="18"/>
              </w:rPr>
              <w:t>satisf</w:t>
            </w:r>
            <w:r>
              <w:rPr>
                <w:rFonts w:asciiTheme="minorHAnsi" w:hAnsiTheme="minorHAnsi"/>
                <w:color w:val="000000"/>
                <w:sz w:val="18"/>
                <w:szCs w:val="18"/>
              </w:rPr>
              <w:t>ied</w:t>
            </w:r>
            <w:r w:rsidR="004E6B71">
              <w:rPr>
                <w:rFonts w:asciiTheme="minorHAnsi" w:hAnsiTheme="minorHAnsi"/>
                <w:color w:val="000000"/>
                <w:sz w:val="18"/>
                <w:szCs w:val="18"/>
              </w:rPr>
              <w:t xml:space="preserve"> with how well doctors know their patients</w:t>
            </w:r>
            <w:r>
              <w:rPr>
                <w:rFonts w:asciiTheme="minorHAnsi" w:hAnsiTheme="minorHAnsi"/>
                <w:color w:val="000000"/>
                <w:sz w:val="18"/>
                <w:szCs w:val="18"/>
              </w:rPr>
              <w:t>.</w:t>
            </w:r>
          </w:p>
        </w:tc>
        <w:tc>
          <w:tcPr>
            <w:tcW w:w="714" w:type="pct"/>
            <w:tcBorders>
              <w:top w:val="single" w:sz="4" w:space="0" w:color="auto"/>
              <w:left w:val="nil"/>
              <w:bottom w:val="single" w:sz="4" w:space="0" w:color="auto"/>
              <w:right w:val="single" w:sz="4" w:space="0" w:color="auto"/>
            </w:tcBorders>
            <w:shd w:val="clear" w:color="auto" w:fill="auto"/>
          </w:tcPr>
          <w:p w14:paraId="5508B8C2"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4AA4C0C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2D850F2D" w14:textId="7C4D58C0" w:rsidR="001461F7" w:rsidRPr="006E74B9" w:rsidRDefault="001461F7" w:rsidP="00CE3B92">
            <w:pPr>
              <w:rPr>
                <w:rFonts w:asciiTheme="minorHAnsi" w:hAnsiTheme="minorHAnsi"/>
                <w:color w:val="000000"/>
                <w:sz w:val="18"/>
                <w:szCs w:val="18"/>
              </w:rPr>
            </w:pPr>
            <w:r w:rsidRPr="006E74B9">
              <w:rPr>
                <w:rFonts w:asciiTheme="minorHAnsi" w:hAnsiTheme="minorHAnsi"/>
                <w:color w:val="000000"/>
                <w:sz w:val="18"/>
                <w:szCs w:val="18"/>
              </w:rPr>
              <w:t>12/31/</w:t>
            </w:r>
            <w:r w:rsidR="00CE3B92" w:rsidRPr="006E74B9">
              <w:rPr>
                <w:rFonts w:asciiTheme="minorHAnsi" w:hAnsiTheme="minorHAnsi"/>
                <w:color w:val="000000"/>
                <w:sz w:val="18"/>
                <w:szCs w:val="18"/>
              </w:rPr>
              <w:t>201</w:t>
            </w:r>
            <w:r w:rsidR="00CE3B92">
              <w:rPr>
                <w:rFonts w:asciiTheme="minorHAnsi" w:hAnsiTheme="minorHAnsi"/>
                <w:color w:val="000000"/>
                <w:sz w:val="18"/>
                <w:szCs w:val="18"/>
              </w:rPr>
              <w:t>4</w:t>
            </w:r>
          </w:p>
        </w:tc>
      </w:tr>
      <w:tr w:rsidR="001461F7" w:rsidRPr="006E74B9" w14:paraId="184F0E16" w14:textId="77777777" w:rsidTr="000A3980">
        <w:trPr>
          <w:trHeight w:val="476"/>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4849FA8" w14:textId="77777777" w:rsidR="001461F7" w:rsidRDefault="001461F7" w:rsidP="0082069E">
            <w:r w:rsidRPr="004A2326">
              <w:rPr>
                <w:rFonts w:asciiTheme="minorHAnsi" w:hAnsiTheme="minorHAnsi"/>
                <w:color w:val="000000"/>
                <w:sz w:val="18"/>
                <w:szCs w:val="18"/>
              </w:rPr>
              <w:lastRenderedPageBreak/>
              <w:t>Patient Experience</w:t>
            </w:r>
            <w:r w:rsidR="00B76036">
              <w:rPr>
                <w:rFonts w:asciiTheme="minorHAnsi" w:hAnsiTheme="minorHAnsi"/>
                <w:color w:val="000000"/>
                <w:sz w:val="18"/>
                <w:szCs w:val="18"/>
              </w:rPr>
              <w:t xml:space="preserve"> Survey</w:t>
            </w:r>
          </w:p>
        </w:tc>
        <w:tc>
          <w:tcPr>
            <w:tcW w:w="913" w:type="pct"/>
            <w:tcBorders>
              <w:top w:val="single" w:sz="4" w:space="0" w:color="auto"/>
              <w:left w:val="nil"/>
              <w:bottom w:val="single" w:sz="4" w:space="0" w:color="auto"/>
              <w:right w:val="single" w:sz="4" w:space="0" w:color="auto"/>
            </w:tcBorders>
            <w:shd w:val="clear" w:color="auto" w:fill="auto"/>
          </w:tcPr>
          <w:p w14:paraId="6EEDA17B"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Willingness to Recommend</w:t>
            </w:r>
          </w:p>
        </w:tc>
        <w:tc>
          <w:tcPr>
            <w:tcW w:w="1556" w:type="pct"/>
            <w:tcBorders>
              <w:top w:val="single" w:sz="4" w:space="0" w:color="auto"/>
              <w:left w:val="nil"/>
              <w:bottom w:val="single" w:sz="4" w:space="0" w:color="auto"/>
              <w:right w:val="single" w:sz="4" w:space="0" w:color="auto"/>
            </w:tcBorders>
            <w:shd w:val="clear" w:color="auto" w:fill="auto"/>
          </w:tcPr>
          <w:p w14:paraId="2D58E764" w14:textId="77777777" w:rsidR="001461F7" w:rsidRPr="006E74B9" w:rsidRDefault="00B76036" w:rsidP="00B76036">
            <w:pPr>
              <w:rPr>
                <w:rFonts w:asciiTheme="minorHAnsi" w:hAnsiTheme="minorHAnsi"/>
                <w:color w:val="000000"/>
                <w:sz w:val="18"/>
                <w:szCs w:val="18"/>
              </w:rPr>
            </w:pPr>
            <w:r>
              <w:rPr>
                <w:rFonts w:asciiTheme="minorHAnsi" w:eastAsia="Times New Roman" w:hAnsiTheme="minorHAnsi" w:cs="Calibri"/>
                <w:sz w:val="18"/>
                <w:szCs w:val="18"/>
              </w:rPr>
              <w:t xml:space="preserve">Percent of </w:t>
            </w:r>
            <w:r w:rsidRPr="001461F7">
              <w:rPr>
                <w:rFonts w:asciiTheme="minorHAnsi" w:eastAsia="Times New Roman" w:hAnsiTheme="minorHAnsi" w:cs="Calibri"/>
                <w:sz w:val="18"/>
                <w:szCs w:val="18"/>
              </w:rPr>
              <w:t xml:space="preserve">patients who </w:t>
            </w:r>
            <w:r>
              <w:rPr>
                <w:rFonts w:asciiTheme="minorHAnsi" w:eastAsia="Times New Roman" w:hAnsiTheme="minorHAnsi" w:cs="Calibri"/>
                <w:sz w:val="18"/>
                <w:szCs w:val="18"/>
              </w:rPr>
              <w:t xml:space="preserve">responded to the </w:t>
            </w:r>
            <w:r w:rsidR="0084730F">
              <w:rPr>
                <w:rFonts w:asciiTheme="minorHAnsi" w:eastAsia="Times New Roman" w:hAnsiTheme="minorHAnsi" w:cs="Calibri"/>
                <w:sz w:val="18"/>
                <w:szCs w:val="18"/>
              </w:rPr>
              <w:t>CG-CAHPS</w:t>
            </w:r>
            <w:r w:rsidR="00632B9F" w:rsidRPr="001461F7">
              <w:rPr>
                <w:rFonts w:asciiTheme="minorHAnsi" w:eastAsia="Times New Roman" w:hAnsiTheme="minorHAnsi" w:cs="Calibri"/>
                <w:sz w:val="18"/>
                <w:szCs w:val="18"/>
              </w:rPr>
              <w:t xml:space="preserve"> </w:t>
            </w:r>
            <w:r w:rsidRPr="001461F7">
              <w:rPr>
                <w:rFonts w:asciiTheme="minorHAnsi" w:eastAsia="Times New Roman" w:hAnsiTheme="minorHAnsi" w:cs="Calibri"/>
                <w:sz w:val="18"/>
                <w:szCs w:val="18"/>
              </w:rPr>
              <w:t>survey</w:t>
            </w:r>
            <w:r>
              <w:rPr>
                <w:rFonts w:asciiTheme="minorHAnsi" w:eastAsia="Times New Roman" w:hAnsiTheme="minorHAnsi" w:cs="Calibri"/>
                <w:sz w:val="18"/>
                <w:szCs w:val="18"/>
              </w:rPr>
              <w:t xml:space="preserve"> and </w:t>
            </w:r>
            <w:r w:rsidRPr="001461F7">
              <w:rPr>
                <w:rFonts w:asciiTheme="minorHAnsi" w:eastAsia="Times New Roman" w:hAnsiTheme="minorHAnsi" w:cs="Calibri"/>
                <w:sz w:val="18"/>
                <w:szCs w:val="18"/>
              </w:rPr>
              <w:t>reported YES, they would definitely recommend</w:t>
            </w:r>
            <w:r>
              <w:rPr>
                <w:rFonts w:asciiTheme="minorHAnsi" w:eastAsia="Times New Roman" w:hAnsiTheme="minorHAnsi" w:cs="Calibri"/>
                <w:sz w:val="18"/>
                <w:szCs w:val="18"/>
              </w:rPr>
              <w:t xml:space="preserve"> </w:t>
            </w:r>
            <w:r>
              <w:rPr>
                <w:rFonts w:asciiTheme="minorHAnsi" w:hAnsiTheme="minorHAnsi"/>
                <w:color w:val="000000"/>
                <w:sz w:val="18"/>
                <w:szCs w:val="18"/>
              </w:rPr>
              <w:t>their doctor to family and friends.</w:t>
            </w:r>
          </w:p>
        </w:tc>
        <w:tc>
          <w:tcPr>
            <w:tcW w:w="714" w:type="pct"/>
            <w:tcBorders>
              <w:top w:val="single" w:sz="4" w:space="0" w:color="auto"/>
              <w:left w:val="nil"/>
              <w:bottom w:val="single" w:sz="4" w:space="0" w:color="auto"/>
              <w:right w:val="single" w:sz="4" w:space="0" w:color="auto"/>
            </w:tcBorders>
            <w:shd w:val="clear" w:color="auto" w:fill="auto"/>
          </w:tcPr>
          <w:p w14:paraId="46B1BCF9" w14:textId="77777777" w:rsidR="001461F7" w:rsidRPr="006E74B9" w:rsidRDefault="00B76036" w:rsidP="0082069E">
            <w:pPr>
              <w:rPr>
                <w:rFonts w:asciiTheme="minorHAnsi" w:hAnsiTheme="minorHAnsi"/>
                <w:color w:val="000000"/>
                <w:sz w:val="18"/>
                <w:szCs w:val="18"/>
              </w:rPr>
            </w:pPr>
            <w:r w:rsidRPr="001461F7">
              <w:rPr>
                <w:rFonts w:asciiTheme="minorHAnsi" w:eastAsia="Times New Roman" w:hAnsiTheme="minorHAnsi" w:cs="Calibri"/>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2BAB6789" w14:textId="77777777" w:rsidR="001461F7" w:rsidRPr="006E74B9" w:rsidRDefault="001461F7" w:rsidP="0082069E">
            <w:pPr>
              <w:rPr>
                <w:rFonts w:asciiTheme="minorHAnsi" w:hAnsiTheme="minorHAnsi"/>
                <w:color w:val="000000"/>
                <w:sz w:val="18"/>
                <w:szCs w:val="18"/>
              </w:rPr>
            </w:pPr>
            <w:r w:rsidRPr="006E74B9">
              <w:rPr>
                <w:rFonts w:asciiTheme="minorHAnsi" w:hAnsiTheme="minorHAnsi"/>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69AFCCC2" w14:textId="3E52C06D" w:rsidR="001461F7" w:rsidRPr="006E74B9" w:rsidRDefault="001461F7" w:rsidP="00CE3B92">
            <w:pPr>
              <w:rPr>
                <w:rFonts w:asciiTheme="minorHAnsi" w:hAnsiTheme="minorHAnsi"/>
                <w:color w:val="000000"/>
                <w:sz w:val="18"/>
                <w:szCs w:val="18"/>
              </w:rPr>
            </w:pPr>
            <w:r w:rsidRPr="006E74B9">
              <w:rPr>
                <w:rFonts w:asciiTheme="minorHAnsi" w:hAnsiTheme="minorHAnsi"/>
                <w:color w:val="000000"/>
                <w:sz w:val="18"/>
                <w:szCs w:val="18"/>
              </w:rPr>
              <w:t>12/31/</w:t>
            </w:r>
            <w:r w:rsidR="00CE3B92" w:rsidRPr="006E74B9">
              <w:rPr>
                <w:rFonts w:asciiTheme="minorHAnsi" w:hAnsiTheme="minorHAnsi"/>
                <w:color w:val="000000"/>
                <w:sz w:val="18"/>
                <w:szCs w:val="18"/>
              </w:rPr>
              <w:t>201</w:t>
            </w:r>
            <w:r w:rsidR="00CE3B92">
              <w:rPr>
                <w:rFonts w:asciiTheme="minorHAnsi" w:hAnsiTheme="minorHAnsi"/>
                <w:color w:val="000000"/>
                <w:sz w:val="18"/>
                <w:szCs w:val="18"/>
              </w:rPr>
              <w:t>4</w:t>
            </w:r>
          </w:p>
        </w:tc>
      </w:tr>
    </w:tbl>
    <w:p w14:paraId="2BDC3324" w14:textId="77777777" w:rsidR="00447C86" w:rsidRDefault="00447C86" w:rsidP="00687249">
      <w:pPr>
        <w:pStyle w:val="Heading3"/>
      </w:pPr>
      <w:bookmarkStart w:id="9" w:name="_Toc416877844"/>
      <w:r>
        <w:t xml:space="preserve">Pediatric </w:t>
      </w:r>
      <w:r w:rsidR="00275E75">
        <w:t xml:space="preserve">Patient Experience Survey </w:t>
      </w:r>
      <w:r>
        <w:t>Measures</w:t>
      </w:r>
      <w:bookmarkEnd w:id="9"/>
    </w:p>
    <w:tbl>
      <w:tblPr>
        <w:tblW w:w="5000" w:type="pct"/>
        <w:tblLook w:val="04A0" w:firstRow="1" w:lastRow="0" w:firstColumn="1" w:lastColumn="0" w:noHBand="0" w:noVBand="1"/>
      </w:tblPr>
      <w:tblGrid>
        <w:gridCol w:w="1329"/>
        <w:gridCol w:w="1749"/>
        <w:gridCol w:w="2980"/>
        <w:gridCol w:w="1367"/>
        <w:gridCol w:w="1065"/>
        <w:gridCol w:w="1086"/>
      </w:tblGrid>
      <w:tr w:rsidR="00447C86" w:rsidRPr="00687249" w14:paraId="6DDD75CC" w14:textId="77777777" w:rsidTr="00687249">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39A2BB0E"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32EECCCC"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Name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0E33773E"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677243C9" w14:textId="622B0699" w:rsidR="00447C86" w:rsidRPr="00687249" w:rsidRDefault="00806637" w:rsidP="00687249">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Primary</w:t>
            </w:r>
            <w:r w:rsidR="00447C86" w:rsidRPr="00687249">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259F740D"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7133DE20" w14:textId="77777777" w:rsidR="00447C86" w:rsidRPr="00687249" w:rsidRDefault="00447C86" w:rsidP="00687249">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end date</w:t>
            </w:r>
          </w:p>
        </w:tc>
      </w:tr>
      <w:tr w:rsidR="006A4BDE" w:rsidRPr="00687249" w14:paraId="58BF09EC" w14:textId="77777777" w:rsidTr="00687249">
        <w:trPr>
          <w:trHeight w:val="135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3FCFCD5" w14:textId="77777777" w:rsidR="006A4BDE" w:rsidRPr="00687249" w:rsidRDefault="006A4BDE" w:rsidP="00687249">
            <w:pPr>
              <w:rPr>
                <w:rFonts w:asciiTheme="minorHAnsi" w:hAnsiTheme="minorHAnsi"/>
                <w:color w:val="000000"/>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7B7C5C9B" w14:textId="77777777" w:rsidR="006A4BDE" w:rsidRPr="00687249" w:rsidRDefault="006A4BDE" w:rsidP="00687249">
            <w:pPr>
              <w:rPr>
                <w:rFonts w:asciiTheme="minorHAnsi" w:hAnsiTheme="minorHAnsi"/>
                <w:color w:val="000000"/>
                <w:sz w:val="18"/>
                <w:szCs w:val="18"/>
              </w:rPr>
            </w:pPr>
            <w:r w:rsidRPr="00687249">
              <w:rPr>
                <w:color w:val="000000"/>
                <w:sz w:val="18"/>
                <w:szCs w:val="18"/>
              </w:rPr>
              <w:t>Communication</w:t>
            </w:r>
          </w:p>
        </w:tc>
        <w:tc>
          <w:tcPr>
            <w:tcW w:w="1556" w:type="pct"/>
            <w:tcBorders>
              <w:top w:val="single" w:sz="4" w:space="0" w:color="auto"/>
              <w:left w:val="nil"/>
              <w:bottom w:val="single" w:sz="4" w:space="0" w:color="auto"/>
              <w:right w:val="single" w:sz="4" w:space="0" w:color="auto"/>
            </w:tcBorders>
            <w:shd w:val="clear" w:color="auto" w:fill="auto"/>
          </w:tcPr>
          <w:p w14:paraId="6CF98F5B"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with how well doctors communicate with patients.</w:t>
            </w:r>
          </w:p>
        </w:tc>
        <w:tc>
          <w:tcPr>
            <w:tcW w:w="714" w:type="pct"/>
            <w:tcBorders>
              <w:top w:val="single" w:sz="4" w:space="0" w:color="auto"/>
              <w:left w:val="nil"/>
              <w:bottom w:val="single" w:sz="4" w:space="0" w:color="auto"/>
              <w:right w:val="single" w:sz="4" w:space="0" w:color="auto"/>
            </w:tcBorders>
            <w:shd w:val="clear" w:color="auto" w:fill="auto"/>
          </w:tcPr>
          <w:p w14:paraId="3CFD8960"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658BF054"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448FB928" w14:textId="07ACE70C" w:rsidR="006A4BDE" w:rsidRPr="00687249" w:rsidRDefault="006A4BDE" w:rsidP="00914E35">
            <w:pPr>
              <w:rPr>
                <w:rFonts w:asciiTheme="minorHAnsi" w:hAnsiTheme="minorHAnsi"/>
                <w:color w:val="000000"/>
                <w:sz w:val="18"/>
                <w:szCs w:val="18"/>
              </w:rPr>
            </w:pPr>
            <w:r w:rsidRPr="00687249">
              <w:rPr>
                <w:color w:val="000000"/>
                <w:sz w:val="18"/>
                <w:szCs w:val="18"/>
              </w:rPr>
              <w:t>12/31/</w:t>
            </w:r>
            <w:r w:rsidR="00914E35" w:rsidRPr="00687249">
              <w:rPr>
                <w:color w:val="000000"/>
                <w:sz w:val="18"/>
                <w:szCs w:val="18"/>
              </w:rPr>
              <w:t>201</w:t>
            </w:r>
            <w:r w:rsidR="00914E35">
              <w:rPr>
                <w:color w:val="000000"/>
                <w:sz w:val="18"/>
                <w:szCs w:val="18"/>
              </w:rPr>
              <w:t>4</w:t>
            </w:r>
          </w:p>
        </w:tc>
      </w:tr>
      <w:tr w:rsidR="006A4BDE" w:rsidRPr="00687249" w14:paraId="006B84BE" w14:textId="77777777" w:rsidTr="00687249">
        <w:trPr>
          <w:trHeight w:val="133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3EC8D22"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14EF287F" w14:textId="77777777" w:rsidR="006A4BDE" w:rsidRPr="00687249" w:rsidRDefault="006A4BDE" w:rsidP="00687249">
            <w:pPr>
              <w:rPr>
                <w:rFonts w:asciiTheme="minorHAnsi" w:hAnsiTheme="minorHAnsi"/>
                <w:color w:val="000000"/>
                <w:sz w:val="18"/>
                <w:szCs w:val="18"/>
              </w:rPr>
            </w:pPr>
            <w:r w:rsidRPr="00687249">
              <w:rPr>
                <w:color w:val="000000"/>
                <w:sz w:val="18"/>
                <w:szCs w:val="18"/>
              </w:rPr>
              <w:t>Knowledge of Patient</w:t>
            </w:r>
          </w:p>
        </w:tc>
        <w:tc>
          <w:tcPr>
            <w:tcW w:w="1556" w:type="pct"/>
            <w:tcBorders>
              <w:top w:val="single" w:sz="4" w:space="0" w:color="auto"/>
              <w:left w:val="nil"/>
              <w:bottom w:val="single" w:sz="4" w:space="0" w:color="auto"/>
              <w:right w:val="single" w:sz="4" w:space="0" w:color="auto"/>
            </w:tcBorders>
            <w:shd w:val="clear" w:color="auto" w:fill="auto"/>
          </w:tcPr>
          <w:p w14:paraId="35F14D21"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with how well doctors know their patients.</w:t>
            </w:r>
          </w:p>
        </w:tc>
        <w:tc>
          <w:tcPr>
            <w:tcW w:w="714" w:type="pct"/>
            <w:tcBorders>
              <w:top w:val="single" w:sz="4" w:space="0" w:color="auto"/>
              <w:left w:val="nil"/>
              <w:bottom w:val="single" w:sz="4" w:space="0" w:color="auto"/>
              <w:right w:val="single" w:sz="4" w:space="0" w:color="auto"/>
            </w:tcBorders>
            <w:shd w:val="clear" w:color="auto" w:fill="auto"/>
          </w:tcPr>
          <w:p w14:paraId="0528BF49"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073F1443"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19F8FF6C" w14:textId="0F287BD9" w:rsidR="006A4BDE" w:rsidRPr="00687249" w:rsidRDefault="006A4BDE" w:rsidP="00914E35">
            <w:pPr>
              <w:rPr>
                <w:rFonts w:asciiTheme="minorHAnsi" w:hAnsiTheme="minorHAnsi"/>
                <w:color w:val="000000"/>
                <w:sz w:val="18"/>
                <w:szCs w:val="18"/>
              </w:rPr>
            </w:pPr>
            <w:r w:rsidRPr="00687249">
              <w:rPr>
                <w:color w:val="000000"/>
                <w:sz w:val="18"/>
                <w:szCs w:val="18"/>
              </w:rPr>
              <w:t>12/31/</w:t>
            </w:r>
            <w:r w:rsidR="00914E35" w:rsidRPr="00687249">
              <w:rPr>
                <w:color w:val="000000"/>
                <w:sz w:val="18"/>
                <w:szCs w:val="18"/>
              </w:rPr>
              <w:t>201</w:t>
            </w:r>
            <w:r w:rsidR="00914E35">
              <w:rPr>
                <w:color w:val="000000"/>
                <w:sz w:val="18"/>
                <w:szCs w:val="18"/>
              </w:rPr>
              <w:t>4</w:t>
            </w:r>
          </w:p>
        </w:tc>
      </w:tr>
      <w:tr w:rsidR="006A4BDE" w:rsidRPr="00687249" w14:paraId="26A0A8AF" w14:textId="77777777" w:rsidTr="00687249">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7D00A79"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432E8632" w14:textId="77777777" w:rsidR="006A4BDE" w:rsidRPr="00687249" w:rsidRDefault="006A4BDE" w:rsidP="00687249">
            <w:pPr>
              <w:rPr>
                <w:rFonts w:asciiTheme="minorHAnsi" w:hAnsiTheme="minorHAnsi"/>
                <w:color w:val="000000"/>
                <w:sz w:val="18"/>
                <w:szCs w:val="18"/>
              </w:rPr>
            </w:pPr>
            <w:r w:rsidRPr="00687249">
              <w:rPr>
                <w:color w:val="000000"/>
                <w:sz w:val="18"/>
                <w:szCs w:val="18"/>
              </w:rPr>
              <w:t>Organizational Access</w:t>
            </w:r>
          </w:p>
        </w:tc>
        <w:tc>
          <w:tcPr>
            <w:tcW w:w="1556" w:type="pct"/>
            <w:tcBorders>
              <w:top w:val="single" w:sz="4" w:space="0" w:color="auto"/>
              <w:left w:val="nil"/>
              <w:bottom w:val="single" w:sz="4" w:space="0" w:color="auto"/>
              <w:right w:val="single" w:sz="4" w:space="0" w:color="auto"/>
            </w:tcBorders>
            <w:shd w:val="clear" w:color="auto" w:fill="auto"/>
          </w:tcPr>
          <w:p w14:paraId="6ADF00FB"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with their ability to get timely appointments, care, and information.</w:t>
            </w:r>
          </w:p>
        </w:tc>
        <w:tc>
          <w:tcPr>
            <w:tcW w:w="714" w:type="pct"/>
            <w:tcBorders>
              <w:top w:val="single" w:sz="4" w:space="0" w:color="auto"/>
              <w:left w:val="nil"/>
              <w:bottom w:val="single" w:sz="4" w:space="0" w:color="auto"/>
              <w:right w:val="single" w:sz="4" w:space="0" w:color="auto"/>
            </w:tcBorders>
            <w:shd w:val="clear" w:color="auto" w:fill="auto"/>
          </w:tcPr>
          <w:p w14:paraId="08358EB4"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09B04A10"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4B1603E8" w14:textId="1F23E80F" w:rsidR="006A4BDE" w:rsidRPr="00687249" w:rsidRDefault="006A4BDE" w:rsidP="00914E35">
            <w:pPr>
              <w:rPr>
                <w:rFonts w:asciiTheme="minorHAnsi" w:hAnsiTheme="minorHAnsi"/>
                <w:color w:val="000000"/>
                <w:sz w:val="18"/>
                <w:szCs w:val="18"/>
              </w:rPr>
            </w:pPr>
            <w:r w:rsidRPr="00687249">
              <w:rPr>
                <w:color w:val="000000"/>
                <w:sz w:val="18"/>
                <w:szCs w:val="18"/>
              </w:rPr>
              <w:t>12/31/</w:t>
            </w:r>
            <w:r w:rsidR="00914E35" w:rsidRPr="00687249">
              <w:rPr>
                <w:color w:val="000000"/>
                <w:sz w:val="18"/>
                <w:szCs w:val="18"/>
              </w:rPr>
              <w:t>201</w:t>
            </w:r>
            <w:r w:rsidR="00914E35">
              <w:rPr>
                <w:color w:val="000000"/>
                <w:sz w:val="18"/>
                <w:szCs w:val="18"/>
              </w:rPr>
              <w:t>4</w:t>
            </w:r>
          </w:p>
        </w:tc>
      </w:tr>
      <w:tr w:rsidR="006A4BDE" w:rsidRPr="00687249" w14:paraId="7DFA5014" w14:textId="77777777" w:rsidTr="00687249">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7C740D66"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0B32FB5E" w14:textId="77777777" w:rsidR="006A4BDE" w:rsidRPr="00687249" w:rsidRDefault="006A4BDE" w:rsidP="00687249">
            <w:pPr>
              <w:rPr>
                <w:rFonts w:asciiTheme="minorHAnsi" w:hAnsiTheme="minorHAnsi"/>
                <w:color w:val="000000"/>
                <w:sz w:val="18"/>
                <w:szCs w:val="18"/>
              </w:rPr>
            </w:pPr>
            <w:r w:rsidRPr="00687249">
              <w:rPr>
                <w:color w:val="000000"/>
                <w:sz w:val="18"/>
                <w:szCs w:val="18"/>
              </w:rPr>
              <w:t>Office Staff</w:t>
            </w:r>
          </w:p>
        </w:tc>
        <w:tc>
          <w:tcPr>
            <w:tcW w:w="1556" w:type="pct"/>
            <w:tcBorders>
              <w:top w:val="single" w:sz="4" w:space="0" w:color="auto"/>
              <w:left w:val="nil"/>
              <w:bottom w:val="single" w:sz="4" w:space="0" w:color="auto"/>
              <w:right w:val="single" w:sz="4" w:space="0" w:color="auto"/>
            </w:tcBorders>
            <w:shd w:val="clear" w:color="auto" w:fill="auto"/>
          </w:tcPr>
          <w:p w14:paraId="3DE1FB9F" w14:textId="77777777" w:rsidR="006A4BDE" w:rsidRPr="00687249" w:rsidRDefault="006A4BDE" w:rsidP="00687249">
            <w:pPr>
              <w:rPr>
                <w:rFonts w:asciiTheme="minorHAnsi" w:hAnsiTheme="minorHAnsi"/>
                <w:color w:val="000000"/>
                <w:sz w:val="18"/>
                <w:szCs w:val="18"/>
              </w:rPr>
            </w:pPr>
            <w:r w:rsidRPr="00687249">
              <w:rPr>
                <w:color w:val="000000"/>
                <w:sz w:val="18"/>
                <w:szCs w:val="18"/>
              </w:rPr>
              <w:t>The percentage of parents and caregivers who responded to the CG-CAHPS survey who were satisfied that they received quality care from staff in the doctor</w:t>
            </w:r>
            <w:r w:rsidR="0012522D">
              <w:rPr>
                <w:color w:val="000000"/>
                <w:sz w:val="18"/>
                <w:szCs w:val="18"/>
              </w:rPr>
              <w:t>’</w:t>
            </w:r>
            <w:r w:rsidRPr="00687249">
              <w:rPr>
                <w:color w:val="000000"/>
                <w:sz w:val="18"/>
                <w:szCs w:val="18"/>
              </w:rPr>
              <w:t>s office.</w:t>
            </w:r>
          </w:p>
        </w:tc>
        <w:tc>
          <w:tcPr>
            <w:tcW w:w="714" w:type="pct"/>
            <w:tcBorders>
              <w:top w:val="single" w:sz="4" w:space="0" w:color="auto"/>
              <w:left w:val="nil"/>
              <w:bottom w:val="single" w:sz="4" w:space="0" w:color="auto"/>
              <w:right w:val="single" w:sz="4" w:space="0" w:color="auto"/>
            </w:tcBorders>
            <w:shd w:val="clear" w:color="auto" w:fill="auto"/>
          </w:tcPr>
          <w:p w14:paraId="217EDEA0"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1B2F6E21"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05A09ED7" w14:textId="3F8A5214" w:rsidR="006A4BDE" w:rsidRPr="00687249" w:rsidRDefault="006A4BDE" w:rsidP="00914E35">
            <w:pPr>
              <w:rPr>
                <w:rFonts w:asciiTheme="minorHAnsi" w:hAnsiTheme="minorHAnsi"/>
                <w:color w:val="000000"/>
                <w:sz w:val="18"/>
                <w:szCs w:val="18"/>
              </w:rPr>
            </w:pPr>
            <w:r w:rsidRPr="00687249">
              <w:rPr>
                <w:color w:val="000000"/>
                <w:sz w:val="18"/>
                <w:szCs w:val="18"/>
              </w:rPr>
              <w:t>12/31/</w:t>
            </w:r>
            <w:r w:rsidR="00914E35" w:rsidRPr="00687249">
              <w:rPr>
                <w:color w:val="000000"/>
                <w:sz w:val="18"/>
                <w:szCs w:val="18"/>
              </w:rPr>
              <w:t>201</w:t>
            </w:r>
            <w:r w:rsidR="00914E35">
              <w:rPr>
                <w:color w:val="000000"/>
                <w:sz w:val="18"/>
                <w:szCs w:val="18"/>
              </w:rPr>
              <w:t>4</w:t>
            </w:r>
          </w:p>
        </w:tc>
      </w:tr>
      <w:tr w:rsidR="006A4BDE" w:rsidRPr="00687249" w14:paraId="49B8DD0E" w14:textId="77777777" w:rsidTr="00687249">
        <w:trPr>
          <w:trHeight w:val="1061"/>
        </w:trPr>
        <w:tc>
          <w:tcPr>
            <w:tcW w:w="694" w:type="pct"/>
            <w:tcBorders>
              <w:top w:val="single" w:sz="4" w:space="0" w:color="auto"/>
              <w:left w:val="single" w:sz="4" w:space="0" w:color="auto"/>
              <w:bottom w:val="single" w:sz="4" w:space="0" w:color="auto"/>
              <w:right w:val="single" w:sz="4" w:space="0" w:color="auto"/>
            </w:tcBorders>
            <w:shd w:val="clear" w:color="auto" w:fill="auto"/>
          </w:tcPr>
          <w:p w14:paraId="06DF1564" w14:textId="77777777" w:rsidR="006A4BDE" w:rsidRPr="00687249" w:rsidRDefault="006A4BDE" w:rsidP="00687249">
            <w:pPr>
              <w:rPr>
                <w:sz w:val="18"/>
                <w:szCs w:val="18"/>
              </w:rPr>
            </w:pPr>
            <w:r w:rsidRPr="000671B4">
              <w:rPr>
                <w:rFonts w:asciiTheme="minorHAnsi" w:hAnsiTheme="minorHAnsi"/>
                <w:color w:val="000000"/>
                <w:sz w:val="18"/>
                <w:szCs w:val="18"/>
              </w:rPr>
              <w:t>Patient Experience Survey</w:t>
            </w:r>
          </w:p>
        </w:tc>
        <w:tc>
          <w:tcPr>
            <w:tcW w:w="913" w:type="pct"/>
            <w:tcBorders>
              <w:top w:val="single" w:sz="4" w:space="0" w:color="auto"/>
              <w:left w:val="nil"/>
              <w:bottom w:val="single" w:sz="4" w:space="0" w:color="auto"/>
              <w:right w:val="single" w:sz="4" w:space="0" w:color="auto"/>
            </w:tcBorders>
            <w:shd w:val="clear" w:color="auto" w:fill="auto"/>
          </w:tcPr>
          <w:p w14:paraId="37445633" w14:textId="77777777" w:rsidR="006A4BDE" w:rsidRPr="00687249" w:rsidRDefault="006A4BDE" w:rsidP="00687249">
            <w:pPr>
              <w:rPr>
                <w:rFonts w:asciiTheme="minorHAnsi" w:hAnsiTheme="minorHAnsi"/>
                <w:color w:val="000000"/>
                <w:sz w:val="18"/>
                <w:szCs w:val="18"/>
              </w:rPr>
            </w:pPr>
            <w:r w:rsidRPr="00687249">
              <w:rPr>
                <w:color w:val="000000"/>
                <w:sz w:val="18"/>
                <w:szCs w:val="18"/>
              </w:rPr>
              <w:t>Willingness to Recommend</w:t>
            </w:r>
          </w:p>
        </w:tc>
        <w:tc>
          <w:tcPr>
            <w:tcW w:w="1556" w:type="pct"/>
            <w:tcBorders>
              <w:top w:val="single" w:sz="4" w:space="0" w:color="auto"/>
              <w:left w:val="nil"/>
              <w:bottom w:val="single" w:sz="4" w:space="0" w:color="auto"/>
              <w:right w:val="single" w:sz="4" w:space="0" w:color="auto"/>
            </w:tcBorders>
            <w:shd w:val="clear" w:color="auto" w:fill="auto"/>
          </w:tcPr>
          <w:p w14:paraId="53ABB732" w14:textId="77777777" w:rsidR="006A4BDE" w:rsidRPr="00687249" w:rsidRDefault="006A4BDE" w:rsidP="00687249">
            <w:pPr>
              <w:rPr>
                <w:rFonts w:asciiTheme="minorHAnsi" w:hAnsiTheme="minorHAnsi"/>
                <w:color w:val="000000"/>
                <w:sz w:val="18"/>
                <w:szCs w:val="18"/>
              </w:rPr>
            </w:pPr>
            <w:r w:rsidRPr="00687249">
              <w:rPr>
                <w:color w:val="000000"/>
                <w:sz w:val="18"/>
                <w:szCs w:val="18"/>
              </w:rPr>
              <w:t>Percent of parents and caregivers who responded to the CG-CAHPS survey and reported YES, they would definitely recommend their doctor to family and friends.</w:t>
            </w:r>
          </w:p>
        </w:tc>
        <w:tc>
          <w:tcPr>
            <w:tcW w:w="714" w:type="pct"/>
            <w:tcBorders>
              <w:top w:val="single" w:sz="4" w:space="0" w:color="auto"/>
              <w:left w:val="nil"/>
              <w:bottom w:val="single" w:sz="4" w:space="0" w:color="auto"/>
              <w:right w:val="single" w:sz="4" w:space="0" w:color="auto"/>
            </w:tcBorders>
            <w:shd w:val="clear" w:color="auto" w:fill="auto"/>
          </w:tcPr>
          <w:p w14:paraId="7D9FDCBE" w14:textId="77777777" w:rsidR="006A4BDE" w:rsidRPr="00687249" w:rsidRDefault="006A4BDE" w:rsidP="00687249">
            <w:pPr>
              <w:rPr>
                <w:rFonts w:asciiTheme="minorHAnsi" w:hAnsiTheme="minorHAnsi"/>
                <w:color w:val="000000"/>
                <w:sz w:val="18"/>
                <w:szCs w:val="18"/>
              </w:rPr>
            </w:pPr>
            <w:r w:rsidRPr="00687249">
              <w:rPr>
                <w:color w:val="000000"/>
                <w:sz w:val="18"/>
                <w:szCs w:val="18"/>
              </w:rPr>
              <w:t>Patient Reported Data/Survey</w:t>
            </w:r>
          </w:p>
        </w:tc>
        <w:tc>
          <w:tcPr>
            <w:tcW w:w="556" w:type="pct"/>
            <w:tcBorders>
              <w:top w:val="single" w:sz="4" w:space="0" w:color="auto"/>
              <w:left w:val="nil"/>
              <w:bottom w:val="single" w:sz="4" w:space="0" w:color="auto"/>
              <w:right w:val="single" w:sz="4" w:space="0" w:color="auto"/>
            </w:tcBorders>
            <w:shd w:val="clear" w:color="auto" w:fill="auto"/>
            <w:noWrap/>
          </w:tcPr>
          <w:p w14:paraId="78E44E38" w14:textId="77777777" w:rsidR="006A4BDE" w:rsidRPr="00687249" w:rsidRDefault="006A4BDE" w:rsidP="00687249">
            <w:pPr>
              <w:rPr>
                <w:rFonts w:asciiTheme="minorHAnsi" w:hAnsiTheme="minorHAnsi"/>
                <w:color w:val="000000"/>
                <w:sz w:val="18"/>
                <w:szCs w:val="18"/>
              </w:rPr>
            </w:pPr>
            <w:r w:rsidRPr="00687249">
              <w:rPr>
                <w:color w:val="000000"/>
                <w:sz w:val="18"/>
                <w:szCs w:val="18"/>
              </w:rPr>
              <w:t>1/1/2013</w:t>
            </w:r>
          </w:p>
        </w:tc>
        <w:tc>
          <w:tcPr>
            <w:tcW w:w="567" w:type="pct"/>
            <w:tcBorders>
              <w:top w:val="single" w:sz="4" w:space="0" w:color="auto"/>
              <w:left w:val="nil"/>
              <w:bottom w:val="single" w:sz="4" w:space="0" w:color="auto"/>
              <w:right w:val="single" w:sz="4" w:space="0" w:color="auto"/>
            </w:tcBorders>
            <w:shd w:val="clear" w:color="auto" w:fill="auto"/>
            <w:noWrap/>
          </w:tcPr>
          <w:p w14:paraId="6999BB71" w14:textId="387B9FCF" w:rsidR="006A4BDE" w:rsidRPr="00687249" w:rsidRDefault="006A4BDE" w:rsidP="00914E35">
            <w:pPr>
              <w:rPr>
                <w:rFonts w:asciiTheme="minorHAnsi" w:hAnsiTheme="minorHAnsi"/>
                <w:color w:val="000000"/>
                <w:sz w:val="18"/>
                <w:szCs w:val="18"/>
              </w:rPr>
            </w:pPr>
            <w:r w:rsidRPr="00687249">
              <w:rPr>
                <w:color w:val="000000"/>
                <w:sz w:val="18"/>
                <w:szCs w:val="18"/>
              </w:rPr>
              <w:t>12/31/</w:t>
            </w:r>
            <w:r w:rsidR="00914E35" w:rsidRPr="00687249">
              <w:rPr>
                <w:color w:val="000000"/>
                <w:sz w:val="18"/>
                <w:szCs w:val="18"/>
              </w:rPr>
              <w:t>201</w:t>
            </w:r>
            <w:r w:rsidR="00914E35">
              <w:rPr>
                <w:color w:val="000000"/>
                <w:sz w:val="18"/>
                <w:szCs w:val="18"/>
              </w:rPr>
              <w:t>4</w:t>
            </w:r>
          </w:p>
        </w:tc>
      </w:tr>
    </w:tbl>
    <w:p w14:paraId="5405375A" w14:textId="77777777" w:rsidR="001461F7" w:rsidRDefault="000A24F3" w:rsidP="000A3980">
      <w:pPr>
        <w:spacing w:before="200"/>
        <w:rPr>
          <w:b/>
        </w:rPr>
      </w:pPr>
      <w:r>
        <w:rPr>
          <w:b/>
        </w:rPr>
        <w:t>Definition:</w:t>
      </w:r>
    </w:p>
    <w:p w14:paraId="67296CA8" w14:textId="5BB6DDF5" w:rsidR="006052C7" w:rsidRDefault="006052C7" w:rsidP="006052C7">
      <w:pPr>
        <w:spacing w:before="200"/>
      </w:pPr>
      <w:r>
        <w:t xml:space="preserve">All scores for measures of patient experience in medical groups reported </w:t>
      </w:r>
      <w:r w:rsidRPr="001461F7">
        <w:t>were</w:t>
      </w:r>
      <w:r>
        <w:t xml:space="preserve"> </w:t>
      </w:r>
      <w:r w:rsidRPr="001461F7">
        <w:t>pre-calculated</w:t>
      </w:r>
      <w:r>
        <w:t xml:space="preserve"> by and</w:t>
      </w:r>
      <w:r w:rsidRPr="001461F7">
        <w:t xml:space="preserve"> </w:t>
      </w:r>
      <w:r>
        <w:t>received from the Massachusetts Health Quality Partners (MHQP)</w:t>
      </w:r>
      <w:r w:rsidRPr="001461F7">
        <w:t xml:space="preserve">. </w:t>
      </w:r>
      <w:r>
        <w:t xml:space="preserve"> </w:t>
      </w:r>
    </w:p>
    <w:p w14:paraId="3B3A57A0" w14:textId="77777777" w:rsidR="000A24F3" w:rsidRPr="00137190" w:rsidRDefault="000A24F3" w:rsidP="000A3980">
      <w:pPr>
        <w:pStyle w:val="PlainText"/>
        <w:spacing w:line="276" w:lineRule="auto"/>
        <w:rPr>
          <w:rFonts w:eastAsia="Calibri"/>
        </w:rPr>
      </w:pPr>
      <w:r w:rsidRPr="00137190">
        <w:rPr>
          <w:rFonts w:eastAsia="Calibri"/>
        </w:rPr>
        <w:lastRenderedPageBreak/>
        <w:t>Patient Experience measures scores are rated on a scale from 0 to 100. Each survey response is converted to numeric format, with 100 as the most favorable response</w:t>
      </w:r>
      <w:r w:rsidR="0012522D" w:rsidRPr="00137190">
        <w:rPr>
          <w:rFonts w:eastAsia="Calibri"/>
        </w:rPr>
        <w:t>. R</w:t>
      </w:r>
      <w:r w:rsidRPr="00137190">
        <w:rPr>
          <w:rFonts w:eastAsia="Calibri"/>
        </w:rPr>
        <w:t>elated questions are averaged to create a respondent-level score for each measure. The respondents</w:t>
      </w:r>
      <w:r w:rsidR="006A4BDE" w:rsidRPr="00137190">
        <w:rPr>
          <w:rFonts w:eastAsia="Calibri"/>
        </w:rPr>
        <w:t>’</w:t>
      </w:r>
      <w:r w:rsidRPr="00137190">
        <w:rPr>
          <w:rFonts w:eastAsia="Calibri"/>
        </w:rPr>
        <w:t xml:space="preserve"> measure scores are then case mix adjusted before aggregating to the medical group level.</w:t>
      </w:r>
    </w:p>
    <w:p w14:paraId="484072DC" w14:textId="77777777" w:rsidR="00687249" w:rsidRPr="00137190" w:rsidRDefault="00687249" w:rsidP="000A3980">
      <w:pPr>
        <w:pStyle w:val="PlainText"/>
        <w:rPr>
          <w:rFonts w:eastAsia="Calibri"/>
        </w:rPr>
      </w:pPr>
    </w:p>
    <w:p w14:paraId="6B8344AD" w14:textId="116DDFC4" w:rsidR="00F87E06" w:rsidRDefault="008C1E04" w:rsidP="000A3980">
      <w:r>
        <w:t xml:space="preserve">These measures reflect the experience of </w:t>
      </w:r>
      <w:r w:rsidR="00275E75">
        <w:t xml:space="preserve">the adult </w:t>
      </w:r>
      <w:r w:rsidR="0052323F">
        <w:t xml:space="preserve">or a </w:t>
      </w:r>
      <w:r w:rsidR="00275E75">
        <w:t xml:space="preserve">parent or caregiver </w:t>
      </w:r>
      <w:r w:rsidR="0052323F">
        <w:t>o</w:t>
      </w:r>
      <w:r w:rsidR="00275E75">
        <w:t>f a child who received care and who is a</w:t>
      </w:r>
      <w:r>
        <w:t xml:space="preserve"> commercially insured member </w:t>
      </w:r>
      <w:r w:rsidR="00275E75">
        <w:t xml:space="preserve">of one of </w:t>
      </w:r>
      <w:r>
        <w:t xml:space="preserve">the five largest commercial carriers:  BCBSMA, </w:t>
      </w:r>
      <w:r w:rsidR="00F5249F">
        <w:t xml:space="preserve">Fallon Community Health Plan, </w:t>
      </w:r>
      <w:r>
        <w:t>Harvard Pilgrim Health Care, Health New England and Tufts Health Plan.  This sample represents approximately 80% of the commercial population.</w:t>
      </w:r>
      <w:r w:rsidR="00152B9F">
        <w:t xml:space="preserve">  </w:t>
      </w:r>
    </w:p>
    <w:p w14:paraId="04593275" w14:textId="3F2E1AED" w:rsidR="00914E35" w:rsidRDefault="006052C7" w:rsidP="000A3980">
      <w:r>
        <w:t>MHQP</w:t>
      </w:r>
      <w:r w:rsidR="004A7B0E">
        <w:t xml:space="preserve"> does not report scores for practices or groups with insufficient sample size, but individuals from these small practices or groups are counted at more aggregated levels, once suf</w:t>
      </w:r>
      <w:r w:rsidR="002D3487">
        <w:t>ficient sample size is reached.</w:t>
      </w:r>
    </w:p>
    <w:p w14:paraId="0629A59B" w14:textId="28700C9D" w:rsidR="00914E35" w:rsidRDefault="00914E35" w:rsidP="002C4472">
      <w:pPr>
        <w:pStyle w:val="Heading2"/>
      </w:pPr>
      <w:bookmarkStart w:id="10" w:name="_Toc416877845"/>
      <w:r>
        <w:t>Metric</w:t>
      </w:r>
      <w:r w:rsidR="000C072C">
        <w:t>s</w:t>
      </w:r>
      <w:r>
        <w:t>: Prevention Quality Indicators (PQI)</w:t>
      </w:r>
      <w:bookmarkEnd w:id="10"/>
    </w:p>
    <w:p w14:paraId="6890BCFA" w14:textId="77777777" w:rsidR="00914E35" w:rsidRDefault="00914E35" w:rsidP="00914E35">
      <w:pPr>
        <w:spacing w:before="200"/>
      </w:pPr>
      <w:r w:rsidRPr="00793375">
        <w:rPr>
          <w:b/>
        </w:rPr>
        <w:t>Steward:</w:t>
      </w:r>
      <w:r>
        <w:t xml:space="preserve"> Agency for Healthcare Research and Quality</w:t>
      </w:r>
    </w:p>
    <w:p w14:paraId="13AEC02E" w14:textId="088F2985" w:rsidR="00914E35" w:rsidRDefault="00914E35" w:rsidP="00914E35">
      <w:r>
        <w:rPr>
          <w:b/>
        </w:rPr>
        <w:t xml:space="preserve">CHIA </w:t>
      </w:r>
      <w:r w:rsidRPr="00FB7DE8">
        <w:rPr>
          <w:b/>
        </w:rPr>
        <w:t xml:space="preserve">Data Source: </w:t>
      </w:r>
      <w:r w:rsidRPr="00914E35">
        <w:t>CHIA</w:t>
      </w:r>
      <w:r>
        <w:rPr>
          <w:b/>
        </w:rPr>
        <w:t xml:space="preserve"> </w:t>
      </w:r>
      <w:r>
        <w:t>Hospital Discharge Database</w:t>
      </w:r>
    </w:p>
    <w:p w14:paraId="2FC6C166" w14:textId="366885E9" w:rsidR="00914E35" w:rsidRDefault="00914E35" w:rsidP="000A3980">
      <w:r w:rsidRPr="00793375">
        <w:rPr>
          <w:b/>
        </w:rPr>
        <w:t>Population:</w:t>
      </w:r>
      <w:r>
        <w:t xml:space="preserve"> All Payers, Ages 18+</w:t>
      </w:r>
    </w:p>
    <w:tbl>
      <w:tblPr>
        <w:tblW w:w="5000" w:type="pct"/>
        <w:tblLook w:val="04A0" w:firstRow="1" w:lastRow="0" w:firstColumn="1" w:lastColumn="0" w:noHBand="0" w:noVBand="1"/>
      </w:tblPr>
      <w:tblGrid>
        <w:gridCol w:w="1329"/>
        <w:gridCol w:w="1749"/>
        <w:gridCol w:w="2980"/>
        <w:gridCol w:w="1367"/>
        <w:gridCol w:w="1065"/>
        <w:gridCol w:w="1086"/>
      </w:tblGrid>
      <w:tr w:rsidR="00914E35" w:rsidRPr="00687249" w14:paraId="386E05E5" w14:textId="77777777" w:rsidTr="0000047F">
        <w:trPr>
          <w:trHeight w:val="764"/>
          <w:tblHeader/>
        </w:trPr>
        <w:tc>
          <w:tcPr>
            <w:tcW w:w="694" w:type="pct"/>
            <w:tcBorders>
              <w:top w:val="single" w:sz="4" w:space="0" w:color="auto"/>
              <w:left w:val="single" w:sz="4" w:space="0" w:color="auto"/>
              <w:bottom w:val="single" w:sz="4" w:space="0" w:color="auto"/>
              <w:right w:val="single" w:sz="4" w:space="0" w:color="auto"/>
            </w:tcBorders>
            <w:shd w:val="clear" w:color="000000" w:fill="538DD5"/>
            <w:vAlign w:val="center"/>
            <w:hideMark/>
          </w:tcPr>
          <w:p w14:paraId="5FFE05DD" w14:textId="77777777" w:rsidR="00914E35" w:rsidRPr="00687249" w:rsidRDefault="00914E35" w:rsidP="0000047F">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Set</w:t>
            </w:r>
          </w:p>
        </w:tc>
        <w:tc>
          <w:tcPr>
            <w:tcW w:w="913" w:type="pct"/>
            <w:tcBorders>
              <w:top w:val="single" w:sz="4" w:space="0" w:color="auto"/>
              <w:left w:val="nil"/>
              <w:bottom w:val="single" w:sz="4" w:space="0" w:color="auto"/>
              <w:right w:val="single" w:sz="4" w:space="0" w:color="auto"/>
            </w:tcBorders>
            <w:shd w:val="clear" w:color="000000" w:fill="538DD5"/>
            <w:vAlign w:val="center"/>
            <w:hideMark/>
          </w:tcPr>
          <w:p w14:paraId="2F33C8D3" w14:textId="77777777" w:rsidR="00914E35" w:rsidRPr="00687249" w:rsidRDefault="00914E35" w:rsidP="0000047F">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Name and ID</w:t>
            </w:r>
          </w:p>
        </w:tc>
        <w:tc>
          <w:tcPr>
            <w:tcW w:w="1556" w:type="pct"/>
            <w:tcBorders>
              <w:top w:val="single" w:sz="4" w:space="0" w:color="auto"/>
              <w:left w:val="nil"/>
              <w:bottom w:val="single" w:sz="4" w:space="0" w:color="auto"/>
              <w:right w:val="single" w:sz="4" w:space="0" w:color="auto"/>
            </w:tcBorders>
            <w:shd w:val="clear" w:color="000000" w:fill="538DD5"/>
            <w:vAlign w:val="center"/>
            <w:hideMark/>
          </w:tcPr>
          <w:p w14:paraId="70AC22D0" w14:textId="77777777" w:rsidR="00914E35" w:rsidRPr="00687249" w:rsidRDefault="00914E35" w:rsidP="0000047F">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Description</w:t>
            </w:r>
          </w:p>
        </w:tc>
        <w:tc>
          <w:tcPr>
            <w:tcW w:w="714" w:type="pct"/>
            <w:tcBorders>
              <w:top w:val="single" w:sz="4" w:space="0" w:color="auto"/>
              <w:left w:val="nil"/>
              <w:bottom w:val="single" w:sz="4" w:space="0" w:color="auto"/>
              <w:right w:val="single" w:sz="4" w:space="0" w:color="auto"/>
            </w:tcBorders>
            <w:shd w:val="clear" w:color="000000" w:fill="538DD5"/>
            <w:vAlign w:val="center"/>
            <w:hideMark/>
          </w:tcPr>
          <w:p w14:paraId="16C06F70" w14:textId="477B9E4F" w:rsidR="00914E35" w:rsidRPr="00687249" w:rsidRDefault="00806637" w:rsidP="0000047F">
            <w:pPr>
              <w:spacing w:after="0" w:line="240" w:lineRule="auto"/>
              <w:jc w:val="center"/>
              <w:rPr>
                <w:rFonts w:asciiTheme="minorHAnsi" w:eastAsia="Times New Roman" w:hAnsiTheme="minorHAnsi" w:cs="Calibri"/>
                <w:b/>
                <w:bCs/>
                <w:color w:val="FFFFFF" w:themeColor="background1"/>
                <w:sz w:val="18"/>
                <w:szCs w:val="18"/>
              </w:rPr>
            </w:pPr>
            <w:r>
              <w:rPr>
                <w:rFonts w:asciiTheme="minorHAnsi" w:eastAsia="Times New Roman" w:hAnsiTheme="minorHAnsi" w:cs="Calibri"/>
                <w:b/>
                <w:bCs/>
                <w:color w:val="FFFFFF" w:themeColor="background1"/>
                <w:sz w:val="18"/>
                <w:szCs w:val="18"/>
              </w:rPr>
              <w:t>Primary</w:t>
            </w:r>
            <w:r w:rsidR="00914E35" w:rsidRPr="00687249">
              <w:rPr>
                <w:rFonts w:asciiTheme="minorHAnsi" w:eastAsia="Times New Roman" w:hAnsiTheme="minorHAnsi" w:cs="Calibri"/>
                <w:b/>
                <w:bCs/>
                <w:color w:val="FFFFFF" w:themeColor="background1"/>
                <w:sz w:val="18"/>
                <w:szCs w:val="18"/>
              </w:rPr>
              <w:t xml:space="preserve"> Data Source</w:t>
            </w:r>
          </w:p>
        </w:tc>
        <w:tc>
          <w:tcPr>
            <w:tcW w:w="556" w:type="pct"/>
            <w:tcBorders>
              <w:top w:val="single" w:sz="4" w:space="0" w:color="auto"/>
              <w:left w:val="nil"/>
              <w:bottom w:val="single" w:sz="4" w:space="0" w:color="auto"/>
              <w:right w:val="single" w:sz="4" w:space="0" w:color="auto"/>
            </w:tcBorders>
            <w:shd w:val="clear" w:color="000000" w:fill="538DD5"/>
            <w:vAlign w:val="center"/>
            <w:hideMark/>
          </w:tcPr>
          <w:p w14:paraId="6F7FE87D" w14:textId="77777777" w:rsidR="00914E35" w:rsidRPr="00687249" w:rsidRDefault="00914E35" w:rsidP="0000047F">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start date</w:t>
            </w:r>
          </w:p>
        </w:tc>
        <w:tc>
          <w:tcPr>
            <w:tcW w:w="567" w:type="pct"/>
            <w:tcBorders>
              <w:top w:val="single" w:sz="4" w:space="0" w:color="auto"/>
              <w:left w:val="nil"/>
              <w:bottom w:val="single" w:sz="4" w:space="0" w:color="auto"/>
              <w:right w:val="single" w:sz="4" w:space="0" w:color="auto"/>
            </w:tcBorders>
            <w:shd w:val="clear" w:color="000000" w:fill="538DD5"/>
            <w:vAlign w:val="center"/>
            <w:hideMark/>
          </w:tcPr>
          <w:p w14:paraId="1906E438" w14:textId="77777777" w:rsidR="00914E35" w:rsidRPr="00687249" w:rsidRDefault="00914E35" w:rsidP="0000047F">
            <w:pPr>
              <w:spacing w:after="0" w:line="240" w:lineRule="auto"/>
              <w:jc w:val="center"/>
              <w:rPr>
                <w:rFonts w:asciiTheme="minorHAnsi" w:eastAsia="Times New Roman" w:hAnsiTheme="minorHAnsi" w:cs="Calibri"/>
                <w:b/>
                <w:bCs/>
                <w:color w:val="FFFFFF" w:themeColor="background1"/>
                <w:sz w:val="18"/>
                <w:szCs w:val="18"/>
              </w:rPr>
            </w:pPr>
            <w:r w:rsidRPr="00687249">
              <w:rPr>
                <w:rFonts w:asciiTheme="minorHAnsi" w:eastAsia="Times New Roman" w:hAnsiTheme="minorHAnsi" w:cs="Calibri"/>
                <w:b/>
                <w:bCs/>
                <w:color w:val="FFFFFF" w:themeColor="background1"/>
                <w:sz w:val="18"/>
                <w:szCs w:val="18"/>
              </w:rPr>
              <w:t>Measure end date</w:t>
            </w:r>
          </w:p>
        </w:tc>
      </w:tr>
      <w:tr w:rsidR="00914E35" w:rsidRPr="00687249" w14:paraId="051C8689" w14:textId="77777777" w:rsidTr="00806637">
        <w:trPr>
          <w:trHeight w:val="818"/>
        </w:trPr>
        <w:tc>
          <w:tcPr>
            <w:tcW w:w="694" w:type="pct"/>
            <w:tcBorders>
              <w:top w:val="single" w:sz="4" w:space="0" w:color="auto"/>
              <w:left w:val="single" w:sz="4" w:space="0" w:color="auto"/>
              <w:bottom w:val="single" w:sz="4" w:space="0" w:color="auto"/>
              <w:right w:val="single" w:sz="4" w:space="0" w:color="auto"/>
            </w:tcBorders>
            <w:shd w:val="clear" w:color="auto" w:fill="auto"/>
          </w:tcPr>
          <w:p w14:paraId="6FE4FBF4" w14:textId="09610400" w:rsidR="00914E35" w:rsidRPr="00914E35" w:rsidRDefault="00914E35" w:rsidP="0000047F">
            <w:pPr>
              <w:rPr>
                <w:rFonts w:asciiTheme="minorHAnsi" w:hAnsiTheme="minorHAnsi"/>
                <w:color w:val="000000"/>
                <w:sz w:val="18"/>
                <w:szCs w:val="18"/>
              </w:rPr>
            </w:pPr>
            <w:r w:rsidRPr="00914E35">
              <w:rPr>
                <w:rFonts w:asciiTheme="minorHAnsi" w:hAnsiTheme="minorHAnsi"/>
                <w:color w:val="000000"/>
                <w:sz w:val="18"/>
                <w:szCs w:val="18"/>
              </w:rPr>
              <w:t>PQI</w:t>
            </w:r>
          </w:p>
        </w:tc>
        <w:tc>
          <w:tcPr>
            <w:tcW w:w="913" w:type="pct"/>
            <w:tcBorders>
              <w:top w:val="single" w:sz="4" w:space="0" w:color="auto"/>
              <w:left w:val="nil"/>
              <w:bottom w:val="single" w:sz="4" w:space="0" w:color="auto"/>
              <w:right w:val="single" w:sz="4" w:space="0" w:color="auto"/>
            </w:tcBorders>
            <w:shd w:val="clear" w:color="auto" w:fill="auto"/>
          </w:tcPr>
          <w:p w14:paraId="3EA2B0B5" w14:textId="246B053F" w:rsidR="00914E35" w:rsidRPr="00914E35" w:rsidRDefault="00914E35" w:rsidP="0000047F">
            <w:pPr>
              <w:rPr>
                <w:rFonts w:asciiTheme="minorHAnsi" w:hAnsiTheme="minorHAnsi"/>
                <w:color w:val="000000"/>
                <w:sz w:val="18"/>
                <w:szCs w:val="18"/>
              </w:rPr>
            </w:pPr>
            <w:r w:rsidRPr="002C4472">
              <w:rPr>
                <w:rFonts w:eastAsia="Times New Roman"/>
                <w:sz w:val="18"/>
                <w:szCs w:val="18"/>
              </w:rPr>
              <w:t>Asthma in younger adults</w:t>
            </w:r>
            <w:r w:rsidR="00806637">
              <w:rPr>
                <w:rFonts w:eastAsia="Times New Roman"/>
                <w:sz w:val="18"/>
                <w:szCs w:val="18"/>
              </w:rPr>
              <w:t xml:space="preserve"> admission rate</w:t>
            </w:r>
            <w:r w:rsidRPr="002C4472">
              <w:rPr>
                <w:rFonts w:eastAsia="Times New Roman"/>
                <w:sz w:val="18"/>
                <w:szCs w:val="18"/>
              </w:rPr>
              <w:t xml:space="preserve"> (PQI 15)</w:t>
            </w:r>
          </w:p>
        </w:tc>
        <w:tc>
          <w:tcPr>
            <w:tcW w:w="1556" w:type="pct"/>
            <w:tcBorders>
              <w:top w:val="single" w:sz="4" w:space="0" w:color="auto"/>
              <w:left w:val="nil"/>
              <w:bottom w:val="single" w:sz="4" w:space="0" w:color="auto"/>
              <w:right w:val="single" w:sz="4" w:space="0" w:color="auto"/>
            </w:tcBorders>
            <w:shd w:val="clear" w:color="auto" w:fill="auto"/>
          </w:tcPr>
          <w:p w14:paraId="0261ED58" w14:textId="4BF67EB8" w:rsidR="00914E35" w:rsidRPr="00806637" w:rsidRDefault="00806637" w:rsidP="00806637">
            <w:pPr>
              <w:rPr>
                <w:rFonts w:eastAsia="Times New Roman"/>
                <w:sz w:val="18"/>
                <w:szCs w:val="18"/>
              </w:rPr>
            </w:pPr>
            <w:r w:rsidRPr="00806637">
              <w:rPr>
                <w:rFonts w:eastAsia="Times New Roman"/>
                <w:sz w:val="18"/>
                <w:szCs w:val="18"/>
              </w:rPr>
              <w:t xml:space="preserve">Admissions for a principal diagnosis of asthma per 100,000 population, ages 18 to 39 years. </w:t>
            </w:r>
          </w:p>
        </w:tc>
        <w:tc>
          <w:tcPr>
            <w:tcW w:w="714" w:type="pct"/>
            <w:tcBorders>
              <w:top w:val="single" w:sz="4" w:space="0" w:color="auto"/>
              <w:left w:val="nil"/>
              <w:bottom w:val="single" w:sz="4" w:space="0" w:color="auto"/>
              <w:right w:val="single" w:sz="4" w:space="0" w:color="auto"/>
            </w:tcBorders>
            <w:shd w:val="clear" w:color="auto" w:fill="auto"/>
          </w:tcPr>
          <w:p w14:paraId="01DAF76E" w14:textId="6E1EEC36" w:rsidR="00914E35" w:rsidRPr="00687249" w:rsidRDefault="00806637" w:rsidP="0000047F">
            <w:pPr>
              <w:rPr>
                <w:rFonts w:asciiTheme="minorHAnsi" w:hAnsiTheme="minorHAnsi"/>
                <w:color w:val="000000"/>
                <w:sz w:val="18"/>
                <w:szCs w:val="18"/>
              </w:rPr>
            </w:pPr>
            <w:r>
              <w:rPr>
                <w:rFonts w:asciiTheme="minorHAnsi" w:hAnsiTheme="minorHAnsi"/>
                <w:color w:val="000000"/>
                <w:sz w:val="18"/>
                <w:szCs w:val="18"/>
              </w:rPr>
              <w:t>Administrative records</w:t>
            </w:r>
          </w:p>
        </w:tc>
        <w:tc>
          <w:tcPr>
            <w:tcW w:w="556" w:type="pct"/>
            <w:tcBorders>
              <w:top w:val="single" w:sz="4" w:space="0" w:color="auto"/>
              <w:left w:val="nil"/>
              <w:bottom w:val="single" w:sz="4" w:space="0" w:color="auto"/>
              <w:right w:val="single" w:sz="4" w:space="0" w:color="auto"/>
            </w:tcBorders>
            <w:shd w:val="clear" w:color="auto" w:fill="auto"/>
            <w:noWrap/>
          </w:tcPr>
          <w:p w14:paraId="4852DBC1" w14:textId="38B50ED7" w:rsidR="00914E35" w:rsidRPr="00687249" w:rsidRDefault="00806637" w:rsidP="0000047F">
            <w:pPr>
              <w:rPr>
                <w:rFonts w:asciiTheme="minorHAnsi" w:hAnsiTheme="minorHAnsi"/>
                <w:color w:val="000000"/>
                <w:sz w:val="18"/>
                <w:szCs w:val="18"/>
              </w:rPr>
            </w:pPr>
            <w:r>
              <w:rPr>
                <w:rFonts w:asciiTheme="minorHAnsi" w:hAnsiTheme="minorHAnsi"/>
                <w:color w:val="000000"/>
                <w:sz w:val="18"/>
                <w:szCs w:val="18"/>
              </w:rPr>
              <w:t>10/1/2013</w:t>
            </w:r>
          </w:p>
        </w:tc>
        <w:tc>
          <w:tcPr>
            <w:tcW w:w="567" w:type="pct"/>
            <w:tcBorders>
              <w:top w:val="single" w:sz="4" w:space="0" w:color="auto"/>
              <w:left w:val="nil"/>
              <w:bottom w:val="single" w:sz="4" w:space="0" w:color="auto"/>
              <w:right w:val="single" w:sz="4" w:space="0" w:color="auto"/>
            </w:tcBorders>
            <w:shd w:val="clear" w:color="auto" w:fill="auto"/>
            <w:noWrap/>
          </w:tcPr>
          <w:p w14:paraId="2DC54CB5" w14:textId="1507167D" w:rsidR="00914E35" w:rsidRPr="00687249" w:rsidRDefault="00806637" w:rsidP="0000047F">
            <w:pPr>
              <w:rPr>
                <w:rFonts w:asciiTheme="minorHAnsi" w:hAnsiTheme="minorHAnsi"/>
                <w:color w:val="000000"/>
                <w:sz w:val="18"/>
                <w:szCs w:val="18"/>
              </w:rPr>
            </w:pPr>
            <w:r>
              <w:rPr>
                <w:rFonts w:asciiTheme="minorHAnsi" w:hAnsiTheme="minorHAnsi"/>
                <w:color w:val="000000"/>
                <w:sz w:val="18"/>
                <w:szCs w:val="18"/>
              </w:rPr>
              <w:t>9/30/2014</w:t>
            </w:r>
          </w:p>
        </w:tc>
      </w:tr>
      <w:tr w:rsidR="00806637" w:rsidRPr="00687249" w14:paraId="4F6FE588" w14:textId="77777777" w:rsidTr="00806637">
        <w:trPr>
          <w:trHeight w:val="1367"/>
        </w:trPr>
        <w:tc>
          <w:tcPr>
            <w:tcW w:w="694" w:type="pct"/>
            <w:tcBorders>
              <w:top w:val="single" w:sz="4" w:space="0" w:color="auto"/>
              <w:left w:val="single" w:sz="4" w:space="0" w:color="auto"/>
              <w:bottom w:val="single" w:sz="4" w:space="0" w:color="auto"/>
              <w:right w:val="single" w:sz="4" w:space="0" w:color="auto"/>
            </w:tcBorders>
            <w:shd w:val="clear" w:color="auto" w:fill="auto"/>
          </w:tcPr>
          <w:p w14:paraId="3261F3E3" w14:textId="56469951" w:rsidR="00806637" w:rsidRPr="00914E35" w:rsidRDefault="00806637" w:rsidP="0000047F">
            <w:pPr>
              <w:rPr>
                <w:sz w:val="18"/>
                <w:szCs w:val="18"/>
              </w:rPr>
            </w:pPr>
            <w:r w:rsidRPr="00914E35">
              <w:rPr>
                <w:rFonts w:asciiTheme="minorHAnsi" w:hAnsiTheme="minorHAnsi"/>
                <w:color w:val="000000"/>
                <w:sz w:val="18"/>
                <w:szCs w:val="18"/>
              </w:rPr>
              <w:t>PQI</w:t>
            </w:r>
          </w:p>
        </w:tc>
        <w:tc>
          <w:tcPr>
            <w:tcW w:w="913" w:type="pct"/>
            <w:tcBorders>
              <w:top w:val="single" w:sz="4" w:space="0" w:color="auto"/>
              <w:left w:val="nil"/>
              <w:bottom w:val="single" w:sz="4" w:space="0" w:color="auto"/>
              <w:right w:val="single" w:sz="4" w:space="0" w:color="auto"/>
            </w:tcBorders>
            <w:shd w:val="clear" w:color="auto" w:fill="auto"/>
          </w:tcPr>
          <w:p w14:paraId="72D61531" w14:textId="5C35301F" w:rsidR="00806637" w:rsidRPr="00914E35" w:rsidRDefault="00806637" w:rsidP="0000047F">
            <w:pPr>
              <w:rPr>
                <w:rFonts w:asciiTheme="minorHAnsi" w:hAnsiTheme="minorHAnsi"/>
                <w:color w:val="000000"/>
                <w:sz w:val="18"/>
                <w:szCs w:val="18"/>
              </w:rPr>
            </w:pPr>
            <w:r w:rsidRPr="002C4472">
              <w:rPr>
                <w:rFonts w:eastAsia="Times New Roman"/>
                <w:sz w:val="18"/>
                <w:szCs w:val="18"/>
              </w:rPr>
              <w:t>Chronic obstructive pulmonary disease (PQI 5)</w:t>
            </w:r>
          </w:p>
        </w:tc>
        <w:tc>
          <w:tcPr>
            <w:tcW w:w="1556" w:type="pct"/>
            <w:tcBorders>
              <w:top w:val="single" w:sz="4" w:space="0" w:color="auto"/>
              <w:left w:val="nil"/>
              <w:bottom w:val="single" w:sz="4" w:space="0" w:color="auto"/>
              <w:right w:val="single" w:sz="4" w:space="0" w:color="auto"/>
            </w:tcBorders>
            <w:shd w:val="clear" w:color="auto" w:fill="auto"/>
          </w:tcPr>
          <w:p w14:paraId="19F7EED1" w14:textId="1E2D6B12" w:rsidR="00806637" w:rsidRPr="00806637" w:rsidRDefault="00806637" w:rsidP="00806637">
            <w:pPr>
              <w:rPr>
                <w:rFonts w:eastAsia="Times New Roman"/>
                <w:sz w:val="18"/>
                <w:szCs w:val="18"/>
              </w:rPr>
            </w:pPr>
            <w:r w:rsidRPr="00806637">
              <w:rPr>
                <w:rFonts w:eastAsia="Times New Roman"/>
                <w:sz w:val="18"/>
                <w:szCs w:val="18"/>
              </w:rPr>
              <w:t xml:space="preserve">Admissions with a principal diagnosis of chronic obstructive pulmonary disease (COPD) or asthma per 100,000 population, ages 40 years and older. </w:t>
            </w:r>
          </w:p>
        </w:tc>
        <w:tc>
          <w:tcPr>
            <w:tcW w:w="714" w:type="pct"/>
            <w:tcBorders>
              <w:top w:val="single" w:sz="4" w:space="0" w:color="auto"/>
              <w:left w:val="nil"/>
              <w:bottom w:val="single" w:sz="4" w:space="0" w:color="auto"/>
              <w:right w:val="single" w:sz="4" w:space="0" w:color="auto"/>
            </w:tcBorders>
            <w:shd w:val="clear" w:color="auto" w:fill="auto"/>
          </w:tcPr>
          <w:p w14:paraId="57917EB2" w14:textId="1045DAEA"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Administrative records</w:t>
            </w:r>
          </w:p>
        </w:tc>
        <w:tc>
          <w:tcPr>
            <w:tcW w:w="556" w:type="pct"/>
            <w:tcBorders>
              <w:top w:val="single" w:sz="4" w:space="0" w:color="auto"/>
              <w:left w:val="nil"/>
              <w:bottom w:val="single" w:sz="4" w:space="0" w:color="auto"/>
              <w:right w:val="single" w:sz="4" w:space="0" w:color="auto"/>
            </w:tcBorders>
            <w:shd w:val="clear" w:color="auto" w:fill="auto"/>
            <w:noWrap/>
          </w:tcPr>
          <w:p w14:paraId="03B66A67" w14:textId="0765230F" w:rsidR="00806637" w:rsidRPr="00806637" w:rsidRDefault="00806637" w:rsidP="0000047F">
            <w:pPr>
              <w:rPr>
                <w:rFonts w:asciiTheme="minorHAnsi" w:hAnsiTheme="minorHAnsi"/>
                <w:b/>
                <w:color w:val="000000"/>
                <w:sz w:val="18"/>
                <w:szCs w:val="18"/>
              </w:rPr>
            </w:pPr>
            <w:r>
              <w:rPr>
                <w:rFonts w:asciiTheme="minorHAnsi" w:hAnsiTheme="minorHAnsi"/>
                <w:color w:val="000000"/>
                <w:sz w:val="18"/>
                <w:szCs w:val="18"/>
              </w:rPr>
              <w:t>10/1/2013</w:t>
            </w:r>
          </w:p>
        </w:tc>
        <w:tc>
          <w:tcPr>
            <w:tcW w:w="567" w:type="pct"/>
            <w:tcBorders>
              <w:top w:val="single" w:sz="4" w:space="0" w:color="auto"/>
              <w:left w:val="nil"/>
              <w:bottom w:val="single" w:sz="4" w:space="0" w:color="auto"/>
              <w:right w:val="single" w:sz="4" w:space="0" w:color="auto"/>
            </w:tcBorders>
            <w:shd w:val="clear" w:color="auto" w:fill="auto"/>
            <w:noWrap/>
          </w:tcPr>
          <w:p w14:paraId="081CAEF0" w14:textId="4DFEB0BE"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9/30/2014</w:t>
            </w:r>
          </w:p>
        </w:tc>
      </w:tr>
      <w:tr w:rsidR="00806637" w:rsidRPr="00687249" w14:paraId="026CF95B" w14:textId="77777777" w:rsidTr="00806637">
        <w:trPr>
          <w:trHeight w:val="890"/>
        </w:trPr>
        <w:tc>
          <w:tcPr>
            <w:tcW w:w="694" w:type="pct"/>
            <w:tcBorders>
              <w:top w:val="single" w:sz="4" w:space="0" w:color="auto"/>
              <w:left w:val="single" w:sz="4" w:space="0" w:color="auto"/>
              <w:bottom w:val="single" w:sz="4" w:space="0" w:color="auto"/>
              <w:right w:val="single" w:sz="4" w:space="0" w:color="auto"/>
            </w:tcBorders>
            <w:shd w:val="clear" w:color="auto" w:fill="auto"/>
          </w:tcPr>
          <w:p w14:paraId="12C58307" w14:textId="0731E3CC" w:rsidR="00806637" w:rsidRPr="00914E35" w:rsidRDefault="00806637" w:rsidP="0000047F">
            <w:pPr>
              <w:rPr>
                <w:sz w:val="18"/>
                <w:szCs w:val="18"/>
              </w:rPr>
            </w:pPr>
            <w:r w:rsidRPr="00914E35">
              <w:rPr>
                <w:rFonts w:asciiTheme="minorHAnsi" w:hAnsiTheme="minorHAnsi"/>
                <w:color w:val="000000"/>
                <w:sz w:val="18"/>
                <w:szCs w:val="18"/>
              </w:rPr>
              <w:t>PQI</w:t>
            </w:r>
          </w:p>
        </w:tc>
        <w:tc>
          <w:tcPr>
            <w:tcW w:w="913" w:type="pct"/>
            <w:tcBorders>
              <w:top w:val="single" w:sz="4" w:space="0" w:color="auto"/>
              <w:left w:val="nil"/>
              <w:bottom w:val="single" w:sz="4" w:space="0" w:color="auto"/>
              <w:right w:val="single" w:sz="4" w:space="0" w:color="auto"/>
            </w:tcBorders>
            <w:shd w:val="clear" w:color="auto" w:fill="auto"/>
          </w:tcPr>
          <w:p w14:paraId="3E40573E" w14:textId="01F5AB9D" w:rsidR="00806637" w:rsidRPr="00914E35" w:rsidRDefault="00806637" w:rsidP="0000047F">
            <w:pPr>
              <w:rPr>
                <w:rFonts w:asciiTheme="minorHAnsi" w:hAnsiTheme="minorHAnsi"/>
                <w:color w:val="000000"/>
                <w:sz w:val="18"/>
                <w:szCs w:val="18"/>
              </w:rPr>
            </w:pPr>
            <w:r w:rsidRPr="002C4472">
              <w:rPr>
                <w:rFonts w:eastAsia="Times New Roman"/>
                <w:sz w:val="18"/>
                <w:szCs w:val="18"/>
              </w:rPr>
              <w:t>Congestive Heart Failure Admission Rate (PQI 8)</w:t>
            </w:r>
          </w:p>
        </w:tc>
        <w:tc>
          <w:tcPr>
            <w:tcW w:w="1556" w:type="pct"/>
            <w:tcBorders>
              <w:top w:val="single" w:sz="4" w:space="0" w:color="auto"/>
              <w:left w:val="nil"/>
              <w:bottom w:val="single" w:sz="4" w:space="0" w:color="auto"/>
              <w:right w:val="single" w:sz="4" w:space="0" w:color="auto"/>
            </w:tcBorders>
            <w:shd w:val="clear" w:color="auto" w:fill="auto"/>
          </w:tcPr>
          <w:p w14:paraId="455FCC1A" w14:textId="60BF8818" w:rsidR="00806637" w:rsidRPr="00806637" w:rsidRDefault="00806637" w:rsidP="0000047F">
            <w:pPr>
              <w:rPr>
                <w:rFonts w:eastAsia="Times New Roman"/>
                <w:sz w:val="18"/>
                <w:szCs w:val="18"/>
              </w:rPr>
            </w:pPr>
            <w:r w:rsidRPr="00806637">
              <w:rPr>
                <w:rFonts w:eastAsia="Times New Roman"/>
                <w:sz w:val="18"/>
                <w:szCs w:val="18"/>
              </w:rPr>
              <w:t>Admissions with a principal diagnosis of heart failure per 100,000 population, ages 18 years and older. </w:t>
            </w:r>
          </w:p>
        </w:tc>
        <w:tc>
          <w:tcPr>
            <w:tcW w:w="714" w:type="pct"/>
            <w:tcBorders>
              <w:top w:val="single" w:sz="4" w:space="0" w:color="auto"/>
              <w:left w:val="nil"/>
              <w:bottom w:val="single" w:sz="4" w:space="0" w:color="auto"/>
              <w:right w:val="single" w:sz="4" w:space="0" w:color="auto"/>
            </w:tcBorders>
            <w:shd w:val="clear" w:color="auto" w:fill="auto"/>
          </w:tcPr>
          <w:p w14:paraId="0725CE7A" w14:textId="62EC0910"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Administrative records</w:t>
            </w:r>
          </w:p>
        </w:tc>
        <w:tc>
          <w:tcPr>
            <w:tcW w:w="556" w:type="pct"/>
            <w:tcBorders>
              <w:top w:val="single" w:sz="4" w:space="0" w:color="auto"/>
              <w:left w:val="nil"/>
              <w:bottom w:val="single" w:sz="4" w:space="0" w:color="auto"/>
              <w:right w:val="single" w:sz="4" w:space="0" w:color="auto"/>
            </w:tcBorders>
            <w:shd w:val="clear" w:color="auto" w:fill="auto"/>
            <w:noWrap/>
          </w:tcPr>
          <w:p w14:paraId="506EC74E" w14:textId="7F5919E6"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10/1/2013</w:t>
            </w:r>
          </w:p>
        </w:tc>
        <w:tc>
          <w:tcPr>
            <w:tcW w:w="567" w:type="pct"/>
            <w:tcBorders>
              <w:top w:val="single" w:sz="4" w:space="0" w:color="auto"/>
              <w:left w:val="nil"/>
              <w:bottom w:val="single" w:sz="4" w:space="0" w:color="auto"/>
              <w:right w:val="single" w:sz="4" w:space="0" w:color="auto"/>
            </w:tcBorders>
            <w:shd w:val="clear" w:color="auto" w:fill="auto"/>
            <w:noWrap/>
          </w:tcPr>
          <w:p w14:paraId="44E0E2E3" w14:textId="18437E73"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9/30/2014</w:t>
            </w:r>
          </w:p>
        </w:tc>
      </w:tr>
      <w:tr w:rsidR="00806637" w:rsidRPr="00687249" w14:paraId="7C05CEDC" w14:textId="77777777" w:rsidTr="002C4472">
        <w:trPr>
          <w:trHeight w:val="1115"/>
        </w:trPr>
        <w:tc>
          <w:tcPr>
            <w:tcW w:w="694" w:type="pct"/>
            <w:tcBorders>
              <w:top w:val="single" w:sz="4" w:space="0" w:color="auto"/>
              <w:left w:val="single" w:sz="4" w:space="0" w:color="auto"/>
              <w:bottom w:val="single" w:sz="4" w:space="0" w:color="auto"/>
              <w:right w:val="single" w:sz="4" w:space="0" w:color="auto"/>
            </w:tcBorders>
            <w:shd w:val="clear" w:color="auto" w:fill="auto"/>
          </w:tcPr>
          <w:p w14:paraId="29A6D833" w14:textId="239535F9" w:rsidR="00806637" w:rsidRPr="00914E35" w:rsidRDefault="00806637" w:rsidP="0000047F">
            <w:pPr>
              <w:rPr>
                <w:sz w:val="18"/>
                <w:szCs w:val="18"/>
              </w:rPr>
            </w:pPr>
            <w:r w:rsidRPr="00914E35">
              <w:rPr>
                <w:rFonts w:asciiTheme="minorHAnsi" w:hAnsiTheme="minorHAnsi"/>
                <w:color w:val="000000"/>
                <w:sz w:val="18"/>
                <w:szCs w:val="18"/>
              </w:rPr>
              <w:t>PQI</w:t>
            </w:r>
          </w:p>
        </w:tc>
        <w:tc>
          <w:tcPr>
            <w:tcW w:w="913" w:type="pct"/>
            <w:tcBorders>
              <w:top w:val="single" w:sz="4" w:space="0" w:color="auto"/>
              <w:left w:val="nil"/>
              <w:bottom w:val="single" w:sz="4" w:space="0" w:color="auto"/>
              <w:right w:val="single" w:sz="4" w:space="0" w:color="auto"/>
            </w:tcBorders>
            <w:shd w:val="clear" w:color="auto" w:fill="auto"/>
            <w:vAlign w:val="center"/>
          </w:tcPr>
          <w:p w14:paraId="00C0E298" w14:textId="6E6AEFDB" w:rsidR="00806637" w:rsidRPr="00914E35" w:rsidRDefault="00806637" w:rsidP="0000047F">
            <w:pPr>
              <w:rPr>
                <w:rFonts w:asciiTheme="minorHAnsi" w:hAnsiTheme="minorHAnsi"/>
                <w:color w:val="000000"/>
                <w:sz w:val="18"/>
                <w:szCs w:val="18"/>
              </w:rPr>
            </w:pPr>
            <w:r w:rsidRPr="002C4472">
              <w:rPr>
                <w:rFonts w:eastAsia="Times New Roman"/>
                <w:sz w:val="18"/>
                <w:szCs w:val="18"/>
              </w:rPr>
              <w:t>Diabetes Short-Term Complications Admission Rate (PQI 1)</w:t>
            </w:r>
          </w:p>
        </w:tc>
        <w:tc>
          <w:tcPr>
            <w:tcW w:w="1556" w:type="pct"/>
            <w:tcBorders>
              <w:top w:val="single" w:sz="4" w:space="0" w:color="auto"/>
              <w:left w:val="nil"/>
              <w:bottom w:val="single" w:sz="4" w:space="0" w:color="auto"/>
              <w:right w:val="single" w:sz="4" w:space="0" w:color="auto"/>
            </w:tcBorders>
            <w:shd w:val="clear" w:color="auto" w:fill="auto"/>
          </w:tcPr>
          <w:p w14:paraId="02C17EF8" w14:textId="30CE1C42" w:rsidR="00806637" w:rsidRPr="00806637" w:rsidRDefault="00806637" w:rsidP="0000047F">
            <w:pPr>
              <w:rPr>
                <w:rFonts w:eastAsia="Times New Roman"/>
                <w:sz w:val="18"/>
                <w:szCs w:val="18"/>
              </w:rPr>
            </w:pPr>
            <w:r w:rsidRPr="00806637">
              <w:rPr>
                <w:rFonts w:eastAsia="Times New Roman"/>
                <w:sz w:val="18"/>
                <w:szCs w:val="18"/>
              </w:rPr>
              <w:t xml:space="preserve">Admissions for a principal diagnosis of diabetes with short-term complications (ketoacidosis, </w:t>
            </w:r>
            <w:proofErr w:type="spellStart"/>
            <w:r w:rsidRPr="00806637">
              <w:rPr>
                <w:rFonts w:eastAsia="Times New Roman"/>
                <w:sz w:val="18"/>
                <w:szCs w:val="18"/>
              </w:rPr>
              <w:t>hyperosmolarity</w:t>
            </w:r>
            <w:proofErr w:type="spellEnd"/>
            <w:r w:rsidRPr="00806637">
              <w:rPr>
                <w:rFonts w:eastAsia="Times New Roman"/>
                <w:sz w:val="18"/>
                <w:szCs w:val="18"/>
              </w:rPr>
              <w:t>, or coma) per 100,000 population, ages 18 years and older. </w:t>
            </w:r>
          </w:p>
        </w:tc>
        <w:tc>
          <w:tcPr>
            <w:tcW w:w="714" w:type="pct"/>
            <w:tcBorders>
              <w:top w:val="single" w:sz="4" w:space="0" w:color="auto"/>
              <w:left w:val="nil"/>
              <w:bottom w:val="single" w:sz="4" w:space="0" w:color="auto"/>
              <w:right w:val="single" w:sz="4" w:space="0" w:color="auto"/>
            </w:tcBorders>
            <w:shd w:val="clear" w:color="auto" w:fill="auto"/>
          </w:tcPr>
          <w:p w14:paraId="5430A7D7" w14:textId="1424A4A6"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Administrative records</w:t>
            </w:r>
          </w:p>
        </w:tc>
        <w:tc>
          <w:tcPr>
            <w:tcW w:w="556" w:type="pct"/>
            <w:tcBorders>
              <w:top w:val="single" w:sz="4" w:space="0" w:color="auto"/>
              <w:left w:val="nil"/>
              <w:bottom w:val="single" w:sz="4" w:space="0" w:color="auto"/>
              <w:right w:val="single" w:sz="4" w:space="0" w:color="auto"/>
            </w:tcBorders>
            <w:shd w:val="clear" w:color="auto" w:fill="auto"/>
            <w:noWrap/>
          </w:tcPr>
          <w:p w14:paraId="69A3CDD6" w14:textId="3560A542"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10/1/2013</w:t>
            </w:r>
          </w:p>
        </w:tc>
        <w:tc>
          <w:tcPr>
            <w:tcW w:w="567" w:type="pct"/>
            <w:tcBorders>
              <w:top w:val="single" w:sz="4" w:space="0" w:color="auto"/>
              <w:left w:val="nil"/>
              <w:bottom w:val="single" w:sz="4" w:space="0" w:color="auto"/>
              <w:right w:val="single" w:sz="4" w:space="0" w:color="auto"/>
            </w:tcBorders>
            <w:shd w:val="clear" w:color="auto" w:fill="auto"/>
            <w:noWrap/>
          </w:tcPr>
          <w:p w14:paraId="4C1C7D75" w14:textId="57B0AA18" w:rsidR="00806637" w:rsidRPr="00687249" w:rsidRDefault="00806637" w:rsidP="0000047F">
            <w:pPr>
              <w:rPr>
                <w:rFonts w:asciiTheme="minorHAnsi" w:hAnsiTheme="minorHAnsi"/>
                <w:color w:val="000000"/>
                <w:sz w:val="18"/>
                <w:szCs w:val="18"/>
              </w:rPr>
            </w:pPr>
            <w:r>
              <w:rPr>
                <w:rFonts w:asciiTheme="minorHAnsi" w:hAnsiTheme="minorHAnsi"/>
                <w:color w:val="000000"/>
                <w:sz w:val="18"/>
                <w:szCs w:val="18"/>
              </w:rPr>
              <w:t>9/30/2014</w:t>
            </w:r>
          </w:p>
        </w:tc>
      </w:tr>
    </w:tbl>
    <w:p w14:paraId="76F63FE4" w14:textId="77777777" w:rsidR="00914E35" w:rsidRDefault="00914E35" w:rsidP="000A3980"/>
    <w:p w14:paraId="7C61FE83" w14:textId="004B8632" w:rsidR="00B73727" w:rsidRDefault="00914E35" w:rsidP="007252ED">
      <w:pPr>
        <w:rPr>
          <w:b/>
        </w:rPr>
      </w:pPr>
      <w:r w:rsidRPr="002C4472">
        <w:rPr>
          <w:b/>
        </w:rPr>
        <w:t xml:space="preserve">Definition: </w:t>
      </w:r>
    </w:p>
    <w:p w14:paraId="346ECA2D" w14:textId="2E4117C6" w:rsidR="00806637" w:rsidRDefault="00806637" w:rsidP="00806637">
      <w:r>
        <w:lastRenderedPageBreak/>
        <w:t xml:space="preserve">The Prevention Quality Indicators were calculated according to the measure specifications from the Agency for Healthcare Research and Quality (AHRQ), using data from CHIA’s Hospital Discharge Database (HDD) for two fiscal years (2012-2013 and 2013-2014) and AHRQ software </w:t>
      </w:r>
      <w:r w:rsidRPr="002D3487">
        <w:t>version</w:t>
      </w:r>
      <w:r>
        <w:t xml:space="preserve"> 5.0.</w:t>
      </w:r>
    </w:p>
    <w:p w14:paraId="6288C808" w14:textId="46F78560" w:rsidR="00806637" w:rsidRPr="007955C6" w:rsidRDefault="00806637" w:rsidP="00806637">
      <w:pPr>
        <w:rPr>
          <w:sz w:val="2"/>
          <w:szCs w:val="2"/>
        </w:rPr>
      </w:pPr>
      <w:r>
        <w:t>The PQIs was risk-adjusted according to AHRQ specifications to remove the confounding effect of patient case mix.</w:t>
      </w:r>
    </w:p>
    <w:sectPr w:rsidR="00806637" w:rsidRPr="007955C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8371B" w14:textId="77777777" w:rsidR="00FB205A" w:rsidRDefault="00FB205A" w:rsidP="00AD262A">
      <w:pPr>
        <w:spacing w:after="0" w:line="240" w:lineRule="auto"/>
      </w:pPr>
      <w:r>
        <w:separator/>
      </w:r>
    </w:p>
  </w:endnote>
  <w:endnote w:type="continuationSeparator" w:id="0">
    <w:p w14:paraId="2C393D60" w14:textId="77777777" w:rsidR="00FB205A" w:rsidRDefault="00FB205A" w:rsidP="00AD2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TPro-LtCn">
    <w:altName w:val="HelveticaNeueLT Pro 47 LtCn"/>
    <w:panose1 w:val="00000000000000000000"/>
    <w:charset w:val="4D"/>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2CDEDB" w14:textId="77777777" w:rsidR="00FB205A" w:rsidRDefault="00FB205A" w:rsidP="00AD262A">
      <w:pPr>
        <w:spacing w:after="0" w:line="240" w:lineRule="auto"/>
      </w:pPr>
      <w:r>
        <w:separator/>
      </w:r>
    </w:p>
  </w:footnote>
  <w:footnote w:type="continuationSeparator" w:id="0">
    <w:p w14:paraId="19575836" w14:textId="77777777" w:rsidR="00FB205A" w:rsidRDefault="00FB205A" w:rsidP="00AD26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0ACEE" w14:textId="1F6B8740" w:rsidR="00FB205A" w:rsidRDefault="00FB20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E3527"/>
    <w:multiLevelType w:val="hybridMultilevel"/>
    <w:tmpl w:val="A9D01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1F7295"/>
    <w:multiLevelType w:val="hybridMultilevel"/>
    <w:tmpl w:val="2A881B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61402FDF"/>
    <w:multiLevelType w:val="hybridMultilevel"/>
    <w:tmpl w:val="A576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3526BC0"/>
    <w:multiLevelType w:val="hybridMultilevel"/>
    <w:tmpl w:val="A3EE5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A81712"/>
    <w:multiLevelType w:val="hybridMultilevel"/>
    <w:tmpl w:val="91FC046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980"/>
    <w:rsid w:val="0000047F"/>
    <w:rsid w:val="00012A84"/>
    <w:rsid w:val="00020F45"/>
    <w:rsid w:val="00043D56"/>
    <w:rsid w:val="000738AA"/>
    <w:rsid w:val="0009356F"/>
    <w:rsid w:val="00093D60"/>
    <w:rsid w:val="000A24F3"/>
    <w:rsid w:val="000A3980"/>
    <w:rsid w:val="000C072C"/>
    <w:rsid w:val="001139FA"/>
    <w:rsid w:val="00115423"/>
    <w:rsid w:val="0012522D"/>
    <w:rsid w:val="00131539"/>
    <w:rsid w:val="00137190"/>
    <w:rsid w:val="0013769F"/>
    <w:rsid w:val="001461F7"/>
    <w:rsid w:val="00152B9F"/>
    <w:rsid w:val="00152FD0"/>
    <w:rsid w:val="001640BA"/>
    <w:rsid w:val="001660FC"/>
    <w:rsid w:val="001763B4"/>
    <w:rsid w:val="001A3E5A"/>
    <w:rsid w:val="001B3EF3"/>
    <w:rsid w:val="00226774"/>
    <w:rsid w:val="00226C76"/>
    <w:rsid w:val="00230A77"/>
    <w:rsid w:val="00236C41"/>
    <w:rsid w:val="00247D22"/>
    <w:rsid w:val="00261FA3"/>
    <w:rsid w:val="00275E75"/>
    <w:rsid w:val="00285CB5"/>
    <w:rsid w:val="00290B5C"/>
    <w:rsid w:val="002B7AC7"/>
    <w:rsid w:val="002C20DD"/>
    <w:rsid w:val="002C4472"/>
    <w:rsid w:val="002C5E5E"/>
    <w:rsid w:val="002D0629"/>
    <w:rsid w:val="002D291F"/>
    <w:rsid w:val="002D3487"/>
    <w:rsid w:val="0030253D"/>
    <w:rsid w:val="00311FC5"/>
    <w:rsid w:val="00313BA2"/>
    <w:rsid w:val="00316E7D"/>
    <w:rsid w:val="00323EB2"/>
    <w:rsid w:val="003429D4"/>
    <w:rsid w:val="00346D04"/>
    <w:rsid w:val="00393F6E"/>
    <w:rsid w:val="003B051F"/>
    <w:rsid w:val="003C359F"/>
    <w:rsid w:val="0041447B"/>
    <w:rsid w:val="00421358"/>
    <w:rsid w:val="00447C86"/>
    <w:rsid w:val="004665DB"/>
    <w:rsid w:val="00490693"/>
    <w:rsid w:val="004927A5"/>
    <w:rsid w:val="0049570B"/>
    <w:rsid w:val="004A2216"/>
    <w:rsid w:val="004A2AAC"/>
    <w:rsid w:val="004A50FD"/>
    <w:rsid w:val="004A7B0E"/>
    <w:rsid w:val="004B0A4F"/>
    <w:rsid w:val="004C6C1B"/>
    <w:rsid w:val="004D31EB"/>
    <w:rsid w:val="004D4FEC"/>
    <w:rsid w:val="004E1475"/>
    <w:rsid w:val="004E6703"/>
    <w:rsid w:val="004E6B71"/>
    <w:rsid w:val="004F5742"/>
    <w:rsid w:val="004F715B"/>
    <w:rsid w:val="00515CDF"/>
    <w:rsid w:val="0052323F"/>
    <w:rsid w:val="0052447E"/>
    <w:rsid w:val="00527329"/>
    <w:rsid w:val="00553BA3"/>
    <w:rsid w:val="00560AC4"/>
    <w:rsid w:val="00597885"/>
    <w:rsid w:val="005A12CF"/>
    <w:rsid w:val="005A43F1"/>
    <w:rsid w:val="005A4C1A"/>
    <w:rsid w:val="005D16EC"/>
    <w:rsid w:val="005D3B08"/>
    <w:rsid w:val="005F4D46"/>
    <w:rsid w:val="005F671B"/>
    <w:rsid w:val="00603B8A"/>
    <w:rsid w:val="006052C7"/>
    <w:rsid w:val="00613980"/>
    <w:rsid w:val="006329F9"/>
    <w:rsid w:val="00632B9F"/>
    <w:rsid w:val="00646B7A"/>
    <w:rsid w:val="00654B6B"/>
    <w:rsid w:val="00671D18"/>
    <w:rsid w:val="00675D20"/>
    <w:rsid w:val="00687249"/>
    <w:rsid w:val="00691045"/>
    <w:rsid w:val="006971B4"/>
    <w:rsid w:val="006A4BDE"/>
    <w:rsid w:val="006A5112"/>
    <w:rsid w:val="006E7196"/>
    <w:rsid w:val="006F266C"/>
    <w:rsid w:val="00702B20"/>
    <w:rsid w:val="0072479B"/>
    <w:rsid w:val="007252ED"/>
    <w:rsid w:val="00734D5D"/>
    <w:rsid w:val="0075055D"/>
    <w:rsid w:val="00761A65"/>
    <w:rsid w:val="0076660E"/>
    <w:rsid w:val="00775C11"/>
    <w:rsid w:val="00793375"/>
    <w:rsid w:val="007955C6"/>
    <w:rsid w:val="00795D97"/>
    <w:rsid w:val="007966AC"/>
    <w:rsid w:val="007A012D"/>
    <w:rsid w:val="007D58A7"/>
    <w:rsid w:val="007E4210"/>
    <w:rsid w:val="00806637"/>
    <w:rsid w:val="0081395C"/>
    <w:rsid w:val="00814E76"/>
    <w:rsid w:val="0082069E"/>
    <w:rsid w:val="00823CD3"/>
    <w:rsid w:val="0084730F"/>
    <w:rsid w:val="008802C6"/>
    <w:rsid w:val="00897CA9"/>
    <w:rsid w:val="008B0978"/>
    <w:rsid w:val="008C1E04"/>
    <w:rsid w:val="0090027B"/>
    <w:rsid w:val="00914E35"/>
    <w:rsid w:val="009451A7"/>
    <w:rsid w:val="00963CEB"/>
    <w:rsid w:val="009B76BE"/>
    <w:rsid w:val="009C0653"/>
    <w:rsid w:val="009C08B3"/>
    <w:rsid w:val="009D0A18"/>
    <w:rsid w:val="009D72E6"/>
    <w:rsid w:val="009F717F"/>
    <w:rsid w:val="00A3321C"/>
    <w:rsid w:val="00A53484"/>
    <w:rsid w:val="00A87769"/>
    <w:rsid w:val="00A936F3"/>
    <w:rsid w:val="00A97419"/>
    <w:rsid w:val="00AA1C16"/>
    <w:rsid w:val="00AA43BD"/>
    <w:rsid w:val="00AB0CA5"/>
    <w:rsid w:val="00AB6A71"/>
    <w:rsid w:val="00AD262A"/>
    <w:rsid w:val="00AD3567"/>
    <w:rsid w:val="00B138EC"/>
    <w:rsid w:val="00B53D54"/>
    <w:rsid w:val="00B66C9F"/>
    <w:rsid w:val="00B73727"/>
    <w:rsid w:val="00B7569D"/>
    <w:rsid w:val="00B76036"/>
    <w:rsid w:val="00B874C3"/>
    <w:rsid w:val="00BE170B"/>
    <w:rsid w:val="00BF7BFD"/>
    <w:rsid w:val="00C00BE9"/>
    <w:rsid w:val="00C20328"/>
    <w:rsid w:val="00C62DA7"/>
    <w:rsid w:val="00C630B1"/>
    <w:rsid w:val="00C935F1"/>
    <w:rsid w:val="00CA1E64"/>
    <w:rsid w:val="00CA3555"/>
    <w:rsid w:val="00CA56EE"/>
    <w:rsid w:val="00CD07E9"/>
    <w:rsid w:val="00CD17F9"/>
    <w:rsid w:val="00CE0161"/>
    <w:rsid w:val="00CE3B92"/>
    <w:rsid w:val="00CF5CC4"/>
    <w:rsid w:val="00D0154F"/>
    <w:rsid w:val="00D0350C"/>
    <w:rsid w:val="00D23FBC"/>
    <w:rsid w:val="00D3790E"/>
    <w:rsid w:val="00D86041"/>
    <w:rsid w:val="00DB4303"/>
    <w:rsid w:val="00DC0E5B"/>
    <w:rsid w:val="00DF3D0F"/>
    <w:rsid w:val="00E05192"/>
    <w:rsid w:val="00E12E8F"/>
    <w:rsid w:val="00E31AB8"/>
    <w:rsid w:val="00E34B92"/>
    <w:rsid w:val="00E46B1A"/>
    <w:rsid w:val="00E51CC6"/>
    <w:rsid w:val="00E522CA"/>
    <w:rsid w:val="00E52A6E"/>
    <w:rsid w:val="00E5361B"/>
    <w:rsid w:val="00E60F48"/>
    <w:rsid w:val="00EE3A56"/>
    <w:rsid w:val="00F27CBF"/>
    <w:rsid w:val="00F448BA"/>
    <w:rsid w:val="00F5249F"/>
    <w:rsid w:val="00F84F47"/>
    <w:rsid w:val="00F87E06"/>
    <w:rsid w:val="00F954B7"/>
    <w:rsid w:val="00F96069"/>
    <w:rsid w:val="00FB205A"/>
    <w:rsid w:val="00FB7DE8"/>
    <w:rsid w:val="00FE5723"/>
    <w:rsid w:val="00FF3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85C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737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7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37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A7"/>
    <w:pPr>
      <w:ind w:left="720"/>
      <w:contextualSpacing/>
    </w:pPr>
  </w:style>
  <w:style w:type="character" w:styleId="FootnoteReference">
    <w:name w:val="footnote reference"/>
    <w:uiPriority w:val="99"/>
    <w:rsid w:val="00AD262A"/>
    <w:rPr>
      <w:vertAlign w:val="superscript"/>
    </w:rPr>
  </w:style>
  <w:style w:type="character" w:customStyle="1" w:styleId="FootnoteTextChar">
    <w:name w:val="Footnote Text Char"/>
    <w:link w:val="FootnoteText"/>
    <w:uiPriority w:val="99"/>
    <w:rsid w:val="00AD262A"/>
    <w:rPr>
      <w:rFonts w:ascii="Cambria" w:hAnsi="Cambria"/>
    </w:rPr>
  </w:style>
  <w:style w:type="paragraph" w:styleId="FootnoteText">
    <w:name w:val="footnote text"/>
    <w:basedOn w:val="Normal"/>
    <w:link w:val="FootnoteTextChar"/>
    <w:uiPriority w:val="99"/>
    <w:rsid w:val="00AD262A"/>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AD262A"/>
  </w:style>
  <w:style w:type="paragraph" w:styleId="Header">
    <w:name w:val="header"/>
    <w:basedOn w:val="Normal"/>
    <w:link w:val="HeaderChar"/>
    <w:uiPriority w:val="99"/>
    <w:unhideWhenUsed/>
    <w:rsid w:val="00FB7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DE8"/>
    <w:rPr>
      <w:sz w:val="22"/>
      <w:szCs w:val="22"/>
    </w:rPr>
  </w:style>
  <w:style w:type="paragraph" w:styleId="Footer">
    <w:name w:val="footer"/>
    <w:basedOn w:val="Normal"/>
    <w:link w:val="FooterChar"/>
    <w:uiPriority w:val="99"/>
    <w:unhideWhenUsed/>
    <w:rsid w:val="00FB7D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DE8"/>
    <w:rPr>
      <w:sz w:val="22"/>
      <w:szCs w:val="22"/>
    </w:rPr>
  </w:style>
  <w:style w:type="character" w:styleId="CommentReference">
    <w:name w:val="annotation reference"/>
    <w:unhideWhenUsed/>
    <w:rsid w:val="001461F7"/>
    <w:rPr>
      <w:sz w:val="16"/>
      <w:szCs w:val="16"/>
    </w:rPr>
  </w:style>
  <w:style w:type="paragraph" w:styleId="CommentText">
    <w:name w:val="annotation text"/>
    <w:basedOn w:val="Normal"/>
    <w:link w:val="CommentTextChar"/>
    <w:uiPriority w:val="99"/>
    <w:semiHidden/>
    <w:unhideWhenUsed/>
    <w:rsid w:val="001461F7"/>
    <w:rPr>
      <w:sz w:val="20"/>
      <w:szCs w:val="20"/>
    </w:rPr>
  </w:style>
  <w:style w:type="character" w:customStyle="1" w:styleId="CommentTextChar">
    <w:name w:val="Comment Text Char"/>
    <w:basedOn w:val="DefaultParagraphFont"/>
    <w:link w:val="CommentText"/>
    <w:uiPriority w:val="99"/>
    <w:semiHidden/>
    <w:rsid w:val="001461F7"/>
  </w:style>
  <w:style w:type="paragraph" w:styleId="BalloonText">
    <w:name w:val="Balloon Text"/>
    <w:basedOn w:val="Normal"/>
    <w:link w:val="BalloonTextChar"/>
    <w:uiPriority w:val="99"/>
    <w:semiHidden/>
    <w:unhideWhenUsed/>
    <w:rsid w:val="00146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1F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461F7"/>
    <w:pPr>
      <w:spacing w:line="240" w:lineRule="auto"/>
    </w:pPr>
    <w:rPr>
      <w:b/>
      <w:bCs/>
    </w:rPr>
  </w:style>
  <w:style w:type="character" w:customStyle="1" w:styleId="CommentSubjectChar">
    <w:name w:val="Comment Subject Char"/>
    <w:basedOn w:val="CommentTextChar"/>
    <w:link w:val="CommentSubject"/>
    <w:uiPriority w:val="99"/>
    <w:semiHidden/>
    <w:rsid w:val="001461F7"/>
    <w:rPr>
      <w:b/>
      <w:bCs/>
    </w:rPr>
  </w:style>
  <w:style w:type="paragraph" w:customStyle="1" w:styleId="Default">
    <w:name w:val="Default"/>
    <w:rsid w:val="004665DB"/>
    <w:pPr>
      <w:autoSpaceDE w:val="0"/>
      <w:autoSpaceDN w:val="0"/>
      <w:adjustRightInd w:val="0"/>
    </w:pPr>
    <w:rPr>
      <w:rFonts w:ascii="Arial" w:hAnsi="Arial" w:cs="Arial"/>
      <w:color w:val="000000"/>
      <w:sz w:val="24"/>
      <w:szCs w:val="24"/>
    </w:rPr>
  </w:style>
  <w:style w:type="paragraph" w:styleId="PlainText">
    <w:name w:val="Plain Text"/>
    <w:basedOn w:val="Normal"/>
    <w:link w:val="PlainTextChar"/>
    <w:uiPriority w:val="99"/>
    <w:semiHidden/>
    <w:unhideWhenUsed/>
    <w:rsid w:val="000A24F3"/>
    <w:pPr>
      <w:spacing w:after="0" w:line="240" w:lineRule="auto"/>
    </w:pPr>
    <w:rPr>
      <w:rFonts w:eastAsiaTheme="minorHAnsi"/>
    </w:rPr>
  </w:style>
  <w:style w:type="character" w:customStyle="1" w:styleId="PlainTextChar">
    <w:name w:val="Plain Text Char"/>
    <w:basedOn w:val="DefaultParagraphFont"/>
    <w:link w:val="PlainText"/>
    <w:uiPriority w:val="99"/>
    <w:semiHidden/>
    <w:rsid w:val="000A24F3"/>
    <w:rPr>
      <w:rFonts w:eastAsiaTheme="minorHAnsi"/>
      <w:sz w:val="22"/>
      <w:szCs w:val="22"/>
    </w:rPr>
  </w:style>
  <w:style w:type="character" w:customStyle="1" w:styleId="Heading1Char">
    <w:name w:val="Heading 1 Char"/>
    <w:basedOn w:val="DefaultParagraphFont"/>
    <w:link w:val="Heading1"/>
    <w:uiPriority w:val="9"/>
    <w:rsid w:val="00B737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7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3727"/>
    <w:rPr>
      <w:rFonts w:asciiTheme="majorHAnsi" w:eastAsiaTheme="majorEastAsia" w:hAnsiTheme="majorHAnsi" w:cstheme="majorBidi"/>
      <w:b/>
      <w:bCs/>
      <w:color w:val="4F81BD" w:themeColor="accent1"/>
      <w:sz w:val="22"/>
      <w:szCs w:val="22"/>
    </w:rPr>
  </w:style>
  <w:style w:type="paragraph" w:styleId="Revision">
    <w:name w:val="Revision"/>
    <w:hidden/>
    <w:uiPriority w:val="99"/>
    <w:semiHidden/>
    <w:rsid w:val="00B73727"/>
    <w:rPr>
      <w:sz w:val="22"/>
      <w:szCs w:val="22"/>
    </w:rPr>
  </w:style>
  <w:style w:type="paragraph" w:styleId="TOCHeading">
    <w:name w:val="TOC Heading"/>
    <w:basedOn w:val="Heading1"/>
    <w:next w:val="Normal"/>
    <w:uiPriority w:val="39"/>
    <w:semiHidden/>
    <w:unhideWhenUsed/>
    <w:qFormat/>
    <w:rsid w:val="00A87769"/>
    <w:pPr>
      <w:outlineLvl w:val="9"/>
    </w:pPr>
    <w:rPr>
      <w:lang w:eastAsia="ja-JP"/>
    </w:rPr>
  </w:style>
  <w:style w:type="paragraph" w:styleId="TOC1">
    <w:name w:val="toc 1"/>
    <w:basedOn w:val="Normal"/>
    <w:next w:val="Normal"/>
    <w:autoRedefine/>
    <w:uiPriority w:val="39"/>
    <w:unhideWhenUsed/>
    <w:rsid w:val="00A87769"/>
    <w:pPr>
      <w:spacing w:after="100"/>
    </w:pPr>
  </w:style>
  <w:style w:type="paragraph" w:styleId="TOC2">
    <w:name w:val="toc 2"/>
    <w:basedOn w:val="Normal"/>
    <w:next w:val="Normal"/>
    <w:autoRedefine/>
    <w:uiPriority w:val="39"/>
    <w:unhideWhenUsed/>
    <w:rsid w:val="00A87769"/>
    <w:pPr>
      <w:spacing w:after="100"/>
      <w:ind w:left="220"/>
    </w:pPr>
  </w:style>
  <w:style w:type="paragraph" w:styleId="TOC3">
    <w:name w:val="toc 3"/>
    <w:basedOn w:val="Normal"/>
    <w:next w:val="Normal"/>
    <w:autoRedefine/>
    <w:uiPriority w:val="39"/>
    <w:unhideWhenUsed/>
    <w:rsid w:val="00A87769"/>
    <w:pPr>
      <w:spacing w:after="100"/>
      <w:ind w:left="440"/>
    </w:pPr>
  </w:style>
  <w:style w:type="character" w:styleId="Hyperlink">
    <w:name w:val="Hyperlink"/>
    <w:basedOn w:val="DefaultParagraphFont"/>
    <w:uiPriority w:val="99"/>
    <w:unhideWhenUsed/>
    <w:rsid w:val="00A87769"/>
    <w:rPr>
      <w:color w:val="0000FF" w:themeColor="hyperlink"/>
      <w:u w:val="single"/>
    </w:rPr>
  </w:style>
  <w:style w:type="paragraph" w:customStyle="1" w:styleId="CalloutQuotes">
    <w:name w:val="Callout Quotes"/>
    <w:basedOn w:val="Normal"/>
    <w:uiPriority w:val="99"/>
    <w:rsid w:val="00CF5CC4"/>
    <w:pPr>
      <w:widowControl w:val="0"/>
      <w:suppressAutoHyphens/>
      <w:autoSpaceDE w:val="0"/>
      <w:autoSpaceDN w:val="0"/>
      <w:adjustRightInd w:val="0"/>
      <w:spacing w:after="0" w:line="560" w:lineRule="atLeast"/>
      <w:textAlignment w:val="center"/>
    </w:pPr>
    <w:rPr>
      <w:rFonts w:ascii="HelveticaNeueLTPro-LtCn" w:hAnsi="HelveticaNeueLTPro-LtCn" w:cs="HelveticaNeueLTPro-LtCn"/>
      <w:color w:val="005480"/>
      <w:spacing w:val="1"/>
      <w:sz w:val="40"/>
      <w:szCs w:val="40"/>
    </w:rPr>
  </w:style>
  <w:style w:type="character" w:customStyle="1" w:styleId="apple-converted-space">
    <w:name w:val="apple-converted-space"/>
    <w:basedOn w:val="DefaultParagraphFont"/>
    <w:rsid w:val="003C359F"/>
  </w:style>
  <w:style w:type="paragraph" w:styleId="NormalWeb">
    <w:name w:val="Normal (Web)"/>
    <w:basedOn w:val="Normal"/>
    <w:uiPriority w:val="99"/>
    <w:unhideWhenUsed/>
    <w:rsid w:val="00C20328"/>
    <w:pPr>
      <w:spacing w:before="100" w:beforeAutospacing="1" w:after="100" w:afterAutospacing="1"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uiPriority w:val="9"/>
    <w:qFormat/>
    <w:rsid w:val="00B737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737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7372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DA7"/>
    <w:pPr>
      <w:ind w:left="720"/>
      <w:contextualSpacing/>
    </w:pPr>
  </w:style>
  <w:style w:type="character" w:styleId="FootnoteReference">
    <w:name w:val="footnote reference"/>
    <w:uiPriority w:val="99"/>
    <w:rsid w:val="00AD262A"/>
    <w:rPr>
      <w:vertAlign w:val="superscript"/>
    </w:rPr>
  </w:style>
  <w:style w:type="character" w:customStyle="1" w:styleId="FootnoteTextChar">
    <w:name w:val="Footnote Text Char"/>
    <w:link w:val="FootnoteText"/>
    <w:uiPriority w:val="99"/>
    <w:rsid w:val="00AD262A"/>
    <w:rPr>
      <w:rFonts w:ascii="Cambria" w:hAnsi="Cambria"/>
    </w:rPr>
  </w:style>
  <w:style w:type="paragraph" w:styleId="FootnoteText">
    <w:name w:val="footnote text"/>
    <w:basedOn w:val="Normal"/>
    <w:link w:val="FootnoteTextChar"/>
    <w:uiPriority w:val="99"/>
    <w:rsid w:val="00AD262A"/>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AD262A"/>
  </w:style>
  <w:style w:type="paragraph" w:styleId="Header">
    <w:name w:val="header"/>
    <w:basedOn w:val="Normal"/>
    <w:link w:val="HeaderChar"/>
    <w:uiPriority w:val="99"/>
    <w:unhideWhenUsed/>
    <w:rsid w:val="00FB7D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DE8"/>
    <w:rPr>
      <w:sz w:val="22"/>
      <w:szCs w:val="22"/>
    </w:rPr>
  </w:style>
  <w:style w:type="paragraph" w:styleId="Footer">
    <w:name w:val="footer"/>
    <w:basedOn w:val="Normal"/>
    <w:link w:val="FooterChar"/>
    <w:uiPriority w:val="99"/>
    <w:unhideWhenUsed/>
    <w:rsid w:val="00FB7D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DE8"/>
    <w:rPr>
      <w:sz w:val="22"/>
      <w:szCs w:val="22"/>
    </w:rPr>
  </w:style>
  <w:style w:type="character" w:styleId="CommentReference">
    <w:name w:val="annotation reference"/>
    <w:unhideWhenUsed/>
    <w:rsid w:val="001461F7"/>
    <w:rPr>
      <w:sz w:val="16"/>
      <w:szCs w:val="16"/>
    </w:rPr>
  </w:style>
  <w:style w:type="paragraph" w:styleId="CommentText">
    <w:name w:val="annotation text"/>
    <w:basedOn w:val="Normal"/>
    <w:link w:val="CommentTextChar"/>
    <w:uiPriority w:val="99"/>
    <w:semiHidden/>
    <w:unhideWhenUsed/>
    <w:rsid w:val="001461F7"/>
    <w:rPr>
      <w:sz w:val="20"/>
      <w:szCs w:val="20"/>
    </w:rPr>
  </w:style>
  <w:style w:type="character" w:customStyle="1" w:styleId="CommentTextChar">
    <w:name w:val="Comment Text Char"/>
    <w:basedOn w:val="DefaultParagraphFont"/>
    <w:link w:val="CommentText"/>
    <w:uiPriority w:val="99"/>
    <w:semiHidden/>
    <w:rsid w:val="001461F7"/>
  </w:style>
  <w:style w:type="paragraph" w:styleId="BalloonText">
    <w:name w:val="Balloon Text"/>
    <w:basedOn w:val="Normal"/>
    <w:link w:val="BalloonTextChar"/>
    <w:uiPriority w:val="99"/>
    <w:semiHidden/>
    <w:unhideWhenUsed/>
    <w:rsid w:val="001461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1F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461F7"/>
    <w:pPr>
      <w:spacing w:line="240" w:lineRule="auto"/>
    </w:pPr>
    <w:rPr>
      <w:b/>
      <w:bCs/>
    </w:rPr>
  </w:style>
  <w:style w:type="character" w:customStyle="1" w:styleId="CommentSubjectChar">
    <w:name w:val="Comment Subject Char"/>
    <w:basedOn w:val="CommentTextChar"/>
    <w:link w:val="CommentSubject"/>
    <w:uiPriority w:val="99"/>
    <w:semiHidden/>
    <w:rsid w:val="001461F7"/>
    <w:rPr>
      <w:b/>
      <w:bCs/>
    </w:rPr>
  </w:style>
  <w:style w:type="paragraph" w:customStyle="1" w:styleId="Default">
    <w:name w:val="Default"/>
    <w:rsid w:val="004665DB"/>
    <w:pPr>
      <w:autoSpaceDE w:val="0"/>
      <w:autoSpaceDN w:val="0"/>
      <w:adjustRightInd w:val="0"/>
    </w:pPr>
    <w:rPr>
      <w:rFonts w:ascii="Arial" w:hAnsi="Arial" w:cs="Arial"/>
      <w:color w:val="000000"/>
      <w:sz w:val="24"/>
      <w:szCs w:val="24"/>
    </w:rPr>
  </w:style>
  <w:style w:type="paragraph" w:styleId="PlainText">
    <w:name w:val="Plain Text"/>
    <w:basedOn w:val="Normal"/>
    <w:link w:val="PlainTextChar"/>
    <w:uiPriority w:val="99"/>
    <w:semiHidden/>
    <w:unhideWhenUsed/>
    <w:rsid w:val="000A24F3"/>
    <w:pPr>
      <w:spacing w:after="0" w:line="240" w:lineRule="auto"/>
    </w:pPr>
    <w:rPr>
      <w:rFonts w:eastAsiaTheme="minorHAnsi"/>
    </w:rPr>
  </w:style>
  <w:style w:type="character" w:customStyle="1" w:styleId="PlainTextChar">
    <w:name w:val="Plain Text Char"/>
    <w:basedOn w:val="DefaultParagraphFont"/>
    <w:link w:val="PlainText"/>
    <w:uiPriority w:val="99"/>
    <w:semiHidden/>
    <w:rsid w:val="000A24F3"/>
    <w:rPr>
      <w:rFonts w:eastAsiaTheme="minorHAnsi"/>
      <w:sz w:val="22"/>
      <w:szCs w:val="22"/>
    </w:rPr>
  </w:style>
  <w:style w:type="character" w:customStyle="1" w:styleId="Heading1Char">
    <w:name w:val="Heading 1 Char"/>
    <w:basedOn w:val="DefaultParagraphFont"/>
    <w:link w:val="Heading1"/>
    <w:uiPriority w:val="9"/>
    <w:rsid w:val="00B737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372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3727"/>
    <w:rPr>
      <w:rFonts w:asciiTheme="majorHAnsi" w:eastAsiaTheme="majorEastAsia" w:hAnsiTheme="majorHAnsi" w:cstheme="majorBidi"/>
      <w:b/>
      <w:bCs/>
      <w:color w:val="4F81BD" w:themeColor="accent1"/>
      <w:sz w:val="22"/>
      <w:szCs w:val="22"/>
    </w:rPr>
  </w:style>
  <w:style w:type="paragraph" w:styleId="Revision">
    <w:name w:val="Revision"/>
    <w:hidden/>
    <w:uiPriority w:val="99"/>
    <w:semiHidden/>
    <w:rsid w:val="00B73727"/>
    <w:rPr>
      <w:sz w:val="22"/>
      <w:szCs w:val="22"/>
    </w:rPr>
  </w:style>
  <w:style w:type="paragraph" w:styleId="TOCHeading">
    <w:name w:val="TOC Heading"/>
    <w:basedOn w:val="Heading1"/>
    <w:next w:val="Normal"/>
    <w:uiPriority w:val="39"/>
    <w:semiHidden/>
    <w:unhideWhenUsed/>
    <w:qFormat/>
    <w:rsid w:val="00A87769"/>
    <w:pPr>
      <w:outlineLvl w:val="9"/>
    </w:pPr>
    <w:rPr>
      <w:lang w:eastAsia="ja-JP"/>
    </w:rPr>
  </w:style>
  <w:style w:type="paragraph" w:styleId="TOC1">
    <w:name w:val="toc 1"/>
    <w:basedOn w:val="Normal"/>
    <w:next w:val="Normal"/>
    <w:autoRedefine/>
    <w:uiPriority w:val="39"/>
    <w:unhideWhenUsed/>
    <w:rsid w:val="00A87769"/>
    <w:pPr>
      <w:spacing w:after="100"/>
    </w:pPr>
  </w:style>
  <w:style w:type="paragraph" w:styleId="TOC2">
    <w:name w:val="toc 2"/>
    <w:basedOn w:val="Normal"/>
    <w:next w:val="Normal"/>
    <w:autoRedefine/>
    <w:uiPriority w:val="39"/>
    <w:unhideWhenUsed/>
    <w:rsid w:val="00A87769"/>
    <w:pPr>
      <w:spacing w:after="100"/>
      <w:ind w:left="220"/>
    </w:pPr>
  </w:style>
  <w:style w:type="paragraph" w:styleId="TOC3">
    <w:name w:val="toc 3"/>
    <w:basedOn w:val="Normal"/>
    <w:next w:val="Normal"/>
    <w:autoRedefine/>
    <w:uiPriority w:val="39"/>
    <w:unhideWhenUsed/>
    <w:rsid w:val="00A87769"/>
    <w:pPr>
      <w:spacing w:after="100"/>
      <w:ind w:left="440"/>
    </w:pPr>
  </w:style>
  <w:style w:type="character" w:styleId="Hyperlink">
    <w:name w:val="Hyperlink"/>
    <w:basedOn w:val="DefaultParagraphFont"/>
    <w:uiPriority w:val="99"/>
    <w:unhideWhenUsed/>
    <w:rsid w:val="00A87769"/>
    <w:rPr>
      <w:color w:val="0000FF" w:themeColor="hyperlink"/>
      <w:u w:val="single"/>
    </w:rPr>
  </w:style>
  <w:style w:type="paragraph" w:customStyle="1" w:styleId="CalloutQuotes">
    <w:name w:val="Callout Quotes"/>
    <w:basedOn w:val="Normal"/>
    <w:uiPriority w:val="99"/>
    <w:rsid w:val="00CF5CC4"/>
    <w:pPr>
      <w:widowControl w:val="0"/>
      <w:suppressAutoHyphens/>
      <w:autoSpaceDE w:val="0"/>
      <w:autoSpaceDN w:val="0"/>
      <w:adjustRightInd w:val="0"/>
      <w:spacing w:after="0" w:line="560" w:lineRule="atLeast"/>
      <w:textAlignment w:val="center"/>
    </w:pPr>
    <w:rPr>
      <w:rFonts w:ascii="HelveticaNeueLTPro-LtCn" w:hAnsi="HelveticaNeueLTPro-LtCn" w:cs="HelveticaNeueLTPro-LtCn"/>
      <w:color w:val="005480"/>
      <w:spacing w:val="1"/>
      <w:sz w:val="40"/>
      <w:szCs w:val="40"/>
    </w:rPr>
  </w:style>
  <w:style w:type="character" w:customStyle="1" w:styleId="apple-converted-space">
    <w:name w:val="apple-converted-space"/>
    <w:basedOn w:val="DefaultParagraphFont"/>
    <w:rsid w:val="003C359F"/>
  </w:style>
  <w:style w:type="paragraph" w:styleId="NormalWeb">
    <w:name w:val="Normal (Web)"/>
    <w:basedOn w:val="Normal"/>
    <w:uiPriority w:val="99"/>
    <w:unhideWhenUsed/>
    <w:rsid w:val="00C20328"/>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68461">
      <w:bodyDiv w:val="1"/>
      <w:marLeft w:val="0"/>
      <w:marRight w:val="0"/>
      <w:marTop w:val="0"/>
      <w:marBottom w:val="0"/>
      <w:divBdr>
        <w:top w:val="none" w:sz="0" w:space="0" w:color="auto"/>
        <w:left w:val="none" w:sz="0" w:space="0" w:color="auto"/>
        <w:bottom w:val="none" w:sz="0" w:space="0" w:color="auto"/>
        <w:right w:val="none" w:sz="0" w:space="0" w:color="auto"/>
      </w:divBdr>
    </w:div>
    <w:div w:id="304547603">
      <w:bodyDiv w:val="1"/>
      <w:marLeft w:val="0"/>
      <w:marRight w:val="0"/>
      <w:marTop w:val="0"/>
      <w:marBottom w:val="0"/>
      <w:divBdr>
        <w:top w:val="none" w:sz="0" w:space="0" w:color="auto"/>
        <w:left w:val="none" w:sz="0" w:space="0" w:color="auto"/>
        <w:bottom w:val="none" w:sz="0" w:space="0" w:color="auto"/>
        <w:right w:val="none" w:sz="0" w:space="0" w:color="auto"/>
      </w:divBdr>
    </w:div>
    <w:div w:id="801505984">
      <w:bodyDiv w:val="1"/>
      <w:marLeft w:val="0"/>
      <w:marRight w:val="0"/>
      <w:marTop w:val="0"/>
      <w:marBottom w:val="0"/>
      <w:divBdr>
        <w:top w:val="none" w:sz="0" w:space="0" w:color="auto"/>
        <w:left w:val="none" w:sz="0" w:space="0" w:color="auto"/>
        <w:bottom w:val="none" w:sz="0" w:space="0" w:color="auto"/>
        <w:right w:val="none" w:sz="0" w:space="0" w:color="auto"/>
      </w:divBdr>
    </w:div>
    <w:div w:id="864946480">
      <w:bodyDiv w:val="1"/>
      <w:marLeft w:val="0"/>
      <w:marRight w:val="0"/>
      <w:marTop w:val="0"/>
      <w:marBottom w:val="0"/>
      <w:divBdr>
        <w:top w:val="none" w:sz="0" w:space="0" w:color="auto"/>
        <w:left w:val="none" w:sz="0" w:space="0" w:color="auto"/>
        <w:bottom w:val="none" w:sz="0" w:space="0" w:color="auto"/>
        <w:right w:val="none" w:sz="0" w:space="0" w:color="auto"/>
      </w:divBdr>
    </w:div>
    <w:div w:id="984890367">
      <w:bodyDiv w:val="1"/>
      <w:marLeft w:val="0"/>
      <w:marRight w:val="0"/>
      <w:marTop w:val="0"/>
      <w:marBottom w:val="0"/>
      <w:divBdr>
        <w:top w:val="none" w:sz="0" w:space="0" w:color="auto"/>
        <w:left w:val="none" w:sz="0" w:space="0" w:color="auto"/>
        <w:bottom w:val="none" w:sz="0" w:space="0" w:color="auto"/>
        <w:right w:val="none" w:sz="0" w:space="0" w:color="auto"/>
      </w:divBdr>
    </w:div>
    <w:div w:id="1084103707">
      <w:bodyDiv w:val="1"/>
      <w:marLeft w:val="0"/>
      <w:marRight w:val="0"/>
      <w:marTop w:val="0"/>
      <w:marBottom w:val="0"/>
      <w:divBdr>
        <w:top w:val="none" w:sz="0" w:space="0" w:color="auto"/>
        <w:left w:val="none" w:sz="0" w:space="0" w:color="auto"/>
        <w:bottom w:val="none" w:sz="0" w:space="0" w:color="auto"/>
        <w:right w:val="none" w:sz="0" w:space="0" w:color="auto"/>
      </w:divBdr>
    </w:div>
    <w:div w:id="1150756102">
      <w:bodyDiv w:val="1"/>
      <w:marLeft w:val="0"/>
      <w:marRight w:val="0"/>
      <w:marTop w:val="0"/>
      <w:marBottom w:val="0"/>
      <w:divBdr>
        <w:top w:val="none" w:sz="0" w:space="0" w:color="auto"/>
        <w:left w:val="none" w:sz="0" w:space="0" w:color="auto"/>
        <w:bottom w:val="none" w:sz="0" w:space="0" w:color="auto"/>
        <w:right w:val="none" w:sz="0" w:space="0" w:color="auto"/>
      </w:divBdr>
    </w:div>
    <w:div w:id="1243107568">
      <w:bodyDiv w:val="1"/>
      <w:marLeft w:val="0"/>
      <w:marRight w:val="0"/>
      <w:marTop w:val="0"/>
      <w:marBottom w:val="0"/>
      <w:divBdr>
        <w:top w:val="none" w:sz="0" w:space="0" w:color="auto"/>
        <w:left w:val="none" w:sz="0" w:space="0" w:color="auto"/>
        <w:bottom w:val="none" w:sz="0" w:space="0" w:color="auto"/>
        <w:right w:val="none" w:sz="0" w:space="0" w:color="auto"/>
      </w:divBdr>
    </w:div>
    <w:div w:id="1343241292">
      <w:bodyDiv w:val="1"/>
      <w:marLeft w:val="0"/>
      <w:marRight w:val="0"/>
      <w:marTop w:val="0"/>
      <w:marBottom w:val="0"/>
      <w:divBdr>
        <w:top w:val="none" w:sz="0" w:space="0" w:color="auto"/>
        <w:left w:val="none" w:sz="0" w:space="0" w:color="auto"/>
        <w:bottom w:val="none" w:sz="0" w:space="0" w:color="auto"/>
        <w:right w:val="none" w:sz="0" w:space="0" w:color="auto"/>
      </w:divBdr>
    </w:div>
    <w:div w:id="1368070333">
      <w:bodyDiv w:val="1"/>
      <w:marLeft w:val="0"/>
      <w:marRight w:val="0"/>
      <w:marTop w:val="0"/>
      <w:marBottom w:val="0"/>
      <w:divBdr>
        <w:top w:val="none" w:sz="0" w:space="0" w:color="auto"/>
        <w:left w:val="none" w:sz="0" w:space="0" w:color="auto"/>
        <w:bottom w:val="none" w:sz="0" w:space="0" w:color="auto"/>
        <w:right w:val="none" w:sz="0" w:space="0" w:color="auto"/>
      </w:divBdr>
    </w:div>
    <w:div w:id="1369910841">
      <w:bodyDiv w:val="1"/>
      <w:marLeft w:val="0"/>
      <w:marRight w:val="0"/>
      <w:marTop w:val="0"/>
      <w:marBottom w:val="0"/>
      <w:divBdr>
        <w:top w:val="none" w:sz="0" w:space="0" w:color="auto"/>
        <w:left w:val="none" w:sz="0" w:space="0" w:color="auto"/>
        <w:bottom w:val="none" w:sz="0" w:space="0" w:color="auto"/>
        <w:right w:val="none" w:sz="0" w:space="0" w:color="auto"/>
      </w:divBdr>
    </w:div>
    <w:div w:id="1423644492">
      <w:bodyDiv w:val="1"/>
      <w:marLeft w:val="0"/>
      <w:marRight w:val="0"/>
      <w:marTop w:val="0"/>
      <w:marBottom w:val="0"/>
      <w:divBdr>
        <w:top w:val="none" w:sz="0" w:space="0" w:color="auto"/>
        <w:left w:val="none" w:sz="0" w:space="0" w:color="auto"/>
        <w:bottom w:val="none" w:sz="0" w:space="0" w:color="auto"/>
        <w:right w:val="none" w:sz="0" w:space="0" w:color="auto"/>
      </w:divBdr>
    </w:div>
    <w:div w:id="1492258599">
      <w:bodyDiv w:val="1"/>
      <w:marLeft w:val="0"/>
      <w:marRight w:val="0"/>
      <w:marTop w:val="0"/>
      <w:marBottom w:val="0"/>
      <w:divBdr>
        <w:top w:val="none" w:sz="0" w:space="0" w:color="auto"/>
        <w:left w:val="none" w:sz="0" w:space="0" w:color="auto"/>
        <w:bottom w:val="none" w:sz="0" w:space="0" w:color="auto"/>
        <w:right w:val="none" w:sz="0" w:space="0" w:color="auto"/>
      </w:divBdr>
    </w:div>
    <w:div w:id="1599365918">
      <w:bodyDiv w:val="1"/>
      <w:marLeft w:val="0"/>
      <w:marRight w:val="0"/>
      <w:marTop w:val="0"/>
      <w:marBottom w:val="0"/>
      <w:divBdr>
        <w:top w:val="none" w:sz="0" w:space="0" w:color="auto"/>
        <w:left w:val="none" w:sz="0" w:space="0" w:color="auto"/>
        <w:bottom w:val="none" w:sz="0" w:space="0" w:color="auto"/>
        <w:right w:val="none" w:sz="0" w:space="0" w:color="auto"/>
      </w:divBdr>
    </w:div>
    <w:div w:id="1989312218">
      <w:bodyDiv w:val="1"/>
      <w:marLeft w:val="0"/>
      <w:marRight w:val="0"/>
      <w:marTop w:val="0"/>
      <w:marBottom w:val="0"/>
      <w:divBdr>
        <w:top w:val="none" w:sz="0" w:space="0" w:color="auto"/>
        <w:left w:val="none" w:sz="0" w:space="0" w:color="auto"/>
        <w:bottom w:val="none" w:sz="0" w:space="0" w:color="auto"/>
        <w:right w:val="none" w:sz="0" w:space="0" w:color="auto"/>
      </w:divBdr>
    </w:div>
    <w:div w:id="204678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hiamass.gov/hospital-wide-adult-all-payer-readmissions-in-massachusetts-2011-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7780E-0F0F-4443-A775-7C59DFD4D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13</Pages>
  <Words>3338</Words>
  <Characters>19029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Sullivan</dc:creator>
  <cp:lastModifiedBy>Cristi Carman</cp:lastModifiedBy>
  <cp:revision>6</cp:revision>
  <cp:lastPrinted>2014-12-10T20:21:00Z</cp:lastPrinted>
  <dcterms:created xsi:type="dcterms:W3CDTF">2015-08-25T17:59:00Z</dcterms:created>
  <dcterms:modified xsi:type="dcterms:W3CDTF">2015-08-25T20:32:00Z</dcterms:modified>
</cp:coreProperties>
</file>