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E9" w:rsidRPr="00D97C15" w:rsidRDefault="00A447E9" w:rsidP="00A447E9">
      <w:pPr>
        <w:tabs>
          <w:tab w:val="left" w:pos="90"/>
          <w:tab w:val="center" w:pos="468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97C15">
        <w:rPr>
          <w:rFonts w:ascii="Times New Roman" w:hAnsi="Times New Roman"/>
          <w:b/>
          <w:sz w:val="24"/>
          <w:szCs w:val="24"/>
        </w:rPr>
        <w:t xml:space="preserve">ADMINISTRATIVE BULLETIN </w:t>
      </w:r>
      <w:r w:rsidRPr="00B251CF">
        <w:rPr>
          <w:rFonts w:ascii="Times New Roman" w:hAnsi="Times New Roman"/>
          <w:b/>
          <w:sz w:val="24"/>
          <w:szCs w:val="24"/>
        </w:rPr>
        <w:t>14-</w:t>
      </w:r>
      <w:r w:rsidR="00B056DA">
        <w:rPr>
          <w:rFonts w:ascii="Times New Roman" w:hAnsi="Times New Roman"/>
          <w:b/>
          <w:sz w:val="24"/>
          <w:szCs w:val="24"/>
        </w:rPr>
        <w:t>09</w:t>
      </w:r>
    </w:p>
    <w:p w:rsidR="00A447E9" w:rsidRPr="00D97C15" w:rsidRDefault="00A447E9" w:rsidP="00A447E9">
      <w:pPr>
        <w:jc w:val="center"/>
        <w:rPr>
          <w:rFonts w:ascii="Times New Roman" w:hAnsi="Times New Roman"/>
          <w:b/>
          <w:sz w:val="24"/>
          <w:szCs w:val="24"/>
        </w:rPr>
      </w:pPr>
      <w:r w:rsidRPr="00D97C15">
        <w:rPr>
          <w:rFonts w:ascii="Times New Roman" w:hAnsi="Times New Roman"/>
          <w:b/>
          <w:sz w:val="24"/>
          <w:szCs w:val="24"/>
        </w:rPr>
        <w:t>957 CMR 4.00: Uniform Provider Reporting of the Standard Quality Measure Set</w:t>
      </w:r>
    </w:p>
    <w:p w:rsidR="00A447E9" w:rsidRPr="00253870" w:rsidRDefault="00A447E9" w:rsidP="00A447E9">
      <w:pPr>
        <w:jc w:val="center"/>
        <w:rPr>
          <w:rFonts w:ascii="Times New Roman" w:hAnsi="Times New Roman"/>
          <w:b/>
          <w:sz w:val="24"/>
          <w:szCs w:val="24"/>
        </w:rPr>
      </w:pPr>
      <w:r w:rsidRPr="00253870">
        <w:rPr>
          <w:rFonts w:ascii="Times New Roman" w:hAnsi="Times New Roman"/>
          <w:b/>
          <w:sz w:val="24"/>
          <w:szCs w:val="24"/>
        </w:rPr>
        <w:t xml:space="preserve">Effective </w:t>
      </w:r>
      <w:r w:rsidR="00B056DA">
        <w:rPr>
          <w:rFonts w:ascii="Times New Roman" w:hAnsi="Times New Roman"/>
          <w:b/>
          <w:sz w:val="24"/>
          <w:szCs w:val="24"/>
        </w:rPr>
        <w:t>November 7</w:t>
      </w:r>
      <w:r>
        <w:rPr>
          <w:rFonts w:ascii="Times New Roman" w:hAnsi="Times New Roman"/>
          <w:b/>
          <w:sz w:val="24"/>
          <w:szCs w:val="24"/>
        </w:rPr>
        <w:t>, 2014</w:t>
      </w:r>
    </w:p>
    <w:p w:rsidR="00A447E9" w:rsidRDefault="00A447E9" w:rsidP="00A447E9">
      <w:pPr>
        <w:rPr>
          <w:rFonts w:ascii="Times New Roman" w:hAnsi="Times New Roman"/>
        </w:rPr>
      </w:pPr>
      <w:r w:rsidRPr="00712566">
        <w:rPr>
          <w:rFonts w:ascii="Times New Roman" w:hAnsi="Times New Roman"/>
        </w:rPr>
        <w:t>The Center for Health Information and Analysis (Center) is issuing this Administrative Bulletin</w:t>
      </w:r>
      <w:r>
        <w:rPr>
          <w:rFonts w:ascii="Times New Roman" w:hAnsi="Times New Roman"/>
        </w:rPr>
        <w:t xml:space="preserve"> in accordance with 957 CMR 4.05(1)</w:t>
      </w:r>
      <w:r w:rsidRPr="00712566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notify Providers, as defined in 957 CMR 4.02,</w:t>
      </w:r>
      <w:r w:rsidRPr="00712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</w:t>
      </w:r>
      <w:r w:rsidR="00EF605C">
        <w:rPr>
          <w:rFonts w:ascii="Times New Roman" w:hAnsi="Times New Roman"/>
        </w:rPr>
        <w:t xml:space="preserve">the updates to </w:t>
      </w:r>
      <w:r>
        <w:rPr>
          <w:rFonts w:ascii="Times New Roman" w:hAnsi="Times New Roman"/>
        </w:rPr>
        <w:t xml:space="preserve">the quality measures in the Standard Quality Measure Set (SQMS). </w:t>
      </w:r>
    </w:p>
    <w:p w:rsidR="003B3BCE" w:rsidRDefault="001128D6" w:rsidP="001128D6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3B3BCE">
        <w:rPr>
          <w:rFonts w:ascii="Times New Roman" w:hAnsi="Times New Roman"/>
        </w:rPr>
        <w:t xml:space="preserve"> changes to the SQMS outlined </w:t>
      </w:r>
      <w:r>
        <w:rPr>
          <w:rFonts w:ascii="Times New Roman" w:hAnsi="Times New Roman"/>
        </w:rPr>
        <w:t>below were recommended to the Center by the Statewide Quality Advisory Committee (SQAC) on October 2</w:t>
      </w:r>
      <w:r w:rsidR="00EF605C">
        <w:rPr>
          <w:rFonts w:ascii="Times New Roman" w:hAnsi="Times New Roman"/>
        </w:rPr>
        <w:t>0</w:t>
      </w:r>
      <w:r>
        <w:rPr>
          <w:rFonts w:ascii="Times New Roman" w:hAnsi="Times New Roman"/>
        </w:rPr>
        <w:t>, 201</w:t>
      </w:r>
      <w:r w:rsidR="00EF605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161749">
        <w:rPr>
          <w:rFonts w:ascii="Times New Roman" w:hAnsi="Times New Roman"/>
        </w:rPr>
        <w:t>Pursuant to</w:t>
      </w:r>
      <w:r w:rsidRPr="00A447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M.G.L. c. 12C, §</w:t>
      </w:r>
      <w:r w:rsidR="001617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14, the SQAC is required to make its recommendation of SQMS measures to the Center annually, on or before November 1. </w:t>
      </w:r>
    </w:p>
    <w:p w:rsidR="003B3BCE" w:rsidRDefault="003B3BCE" w:rsidP="003B3B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SQAC’s 2014 recommendation added twenty-nine measures to and removed two measures from the SQMS. The two measures that were removed are: </w:t>
      </w:r>
    </w:p>
    <w:p w:rsidR="003B3BCE" w:rsidRDefault="003B3BCE" w:rsidP="003B3BC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85B6E">
        <w:rPr>
          <w:rFonts w:ascii="Times New Roman" w:hAnsi="Times New Roman"/>
        </w:rPr>
        <w:t>Angiotensin converting enzyme inhibitor (ACEI) or angiotensin receptor blocker (ARB) for left ventricular systolic dysfunction (LVSD) (HF-3)</w:t>
      </w:r>
    </w:p>
    <w:p w:rsidR="003B3BCE" w:rsidRPr="00285B6E" w:rsidRDefault="003B3BCE" w:rsidP="003B3BCE">
      <w:pPr>
        <w:pStyle w:val="ListParagraph"/>
        <w:rPr>
          <w:rFonts w:ascii="Times New Roman" w:hAnsi="Times New Roman"/>
        </w:rPr>
      </w:pPr>
    </w:p>
    <w:p w:rsidR="003B3BCE" w:rsidRPr="003B3BCE" w:rsidRDefault="003B3BCE" w:rsidP="003B3BC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85B6E">
        <w:rPr>
          <w:rFonts w:ascii="Times New Roman" w:hAnsi="Times New Roman"/>
        </w:rPr>
        <w:t>Blood cultures performed in the emergency department prior to init</w:t>
      </w:r>
      <w:r w:rsidR="00C27D5D">
        <w:rPr>
          <w:rFonts w:ascii="Times New Roman" w:hAnsi="Times New Roman"/>
        </w:rPr>
        <w:t>i</w:t>
      </w:r>
      <w:r w:rsidRPr="00285B6E">
        <w:rPr>
          <w:rFonts w:ascii="Times New Roman" w:hAnsi="Times New Roman"/>
        </w:rPr>
        <w:t>al antibiotic received</w:t>
      </w:r>
      <w:r>
        <w:rPr>
          <w:rFonts w:ascii="Times New Roman" w:hAnsi="Times New Roman"/>
        </w:rPr>
        <w:t xml:space="preserve"> </w:t>
      </w:r>
      <w:r w:rsidRPr="00285B6E">
        <w:rPr>
          <w:rFonts w:ascii="Times New Roman" w:hAnsi="Times New Roman"/>
        </w:rPr>
        <w:t>in hospital (PN 3b)</w:t>
      </w:r>
    </w:p>
    <w:p w:rsidR="001128D6" w:rsidRPr="001377F1" w:rsidRDefault="001128D6" w:rsidP="001128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Center will </w:t>
      </w:r>
      <w:r w:rsidR="00EF605C">
        <w:rPr>
          <w:rFonts w:ascii="Times New Roman" w:hAnsi="Times New Roman"/>
        </w:rPr>
        <w:t xml:space="preserve">continue to </w:t>
      </w:r>
      <w:r>
        <w:rPr>
          <w:rFonts w:ascii="Times New Roman" w:hAnsi="Times New Roman"/>
        </w:rPr>
        <w:t xml:space="preserve">notify Providers of changes to the SQMS by Administrative Bulletin, as necessary. </w:t>
      </w:r>
      <w:r w:rsidR="005F479F">
        <w:rPr>
          <w:rFonts w:ascii="Times New Roman" w:hAnsi="Times New Roman"/>
        </w:rPr>
        <w:t xml:space="preserve">Until further notice, Providers are not required to submit data for these measures to the Center. </w:t>
      </w:r>
    </w:p>
    <w:tbl>
      <w:tblPr>
        <w:tblW w:w="98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742"/>
        <w:gridCol w:w="11"/>
        <w:gridCol w:w="1219"/>
        <w:gridCol w:w="886"/>
      </w:tblGrid>
      <w:tr w:rsidR="00EF605C" w:rsidRPr="00D81026" w:rsidTr="00285B6E">
        <w:trPr>
          <w:trHeight w:val="146"/>
          <w:tblHeader/>
        </w:trPr>
        <w:tc>
          <w:tcPr>
            <w:tcW w:w="9858" w:type="dxa"/>
            <w:gridSpan w:val="4"/>
            <w:shd w:val="clear" w:color="auto" w:fill="D3DFEE"/>
            <w:vAlign w:val="center"/>
          </w:tcPr>
          <w:p w:rsidR="00EF605C" w:rsidRPr="004B76E8" w:rsidRDefault="00EF605C" w:rsidP="00EF605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6E8">
              <w:rPr>
                <w:rFonts w:ascii="Times New Roman" w:eastAsia="Times New Roman" w:hAnsi="Times New Roman"/>
                <w:b/>
                <w:sz w:val="20"/>
                <w:szCs w:val="20"/>
              </w:rPr>
              <w:t>Physician Measures</w:t>
            </w:r>
          </w:p>
        </w:tc>
      </w:tr>
      <w:tr w:rsidR="00C35BEA" w:rsidRPr="00D81026" w:rsidTr="00285B6E">
        <w:trPr>
          <w:cantSplit/>
          <w:trHeight w:val="70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Measure/Tool Name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NQF</w:t>
            </w:r>
            <w:r w:rsidR="00DB37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</w:t>
            </w:r>
            <w:r w:rsidRPr="00A447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#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CAHPS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Therapeutic monitoring: Annual monitoring for patients on persistent medications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Use of spirometry testing in the assessment and diagnosis of chronic obstructive pulmonary disease (COPD)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577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Cholesterol management for patients with cardiovascular conditions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Controlling high blood pressure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 xml:space="preserve">Comprehensive diabetes care 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731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Use of appropriate medications for people with asthma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Disease modifying anti-rheumatic drug therapy for rheumatoid arthritis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Osteoporosis management in women who had fracture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Pharmacotherapy of chronic obstructive pulmonary disease (COPD) exacerbation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Medication management for people with asthma (MMA)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1799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Asthma Medication Ratio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1800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CAHPS Health Plan Survey: Children with Chronic Conditions Supplement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Fall Risk Management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Potentially harmful drug-disease interactions in the elderly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Avoidance of antibiotic treatment in adults with acute bronchitis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Use of imaging studies for low back pain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Use of high-risk medications in the elderly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Care for older adults - medication review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553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Persistence of beta-blocker treatment after a heart attack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Glaucoma screening in older adults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Urinary Incontinence Management in Older Adults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Counseling on Physical Activity in Older Adults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</w:tr>
      <w:tr w:rsidR="00C35BEA" w:rsidRPr="00D81026" w:rsidTr="00285B6E">
        <w:trPr>
          <w:trHeight w:val="146"/>
        </w:trPr>
        <w:tc>
          <w:tcPr>
            <w:tcW w:w="7742" w:type="dxa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Aspirin Use and Discussion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42" w:type="dxa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Medication reconciliation post-discharge</w:t>
            </w:r>
          </w:p>
        </w:tc>
        <w:tc>
          <w:tcPr>
            <w:tcW w:w="1230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554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Well-child visits in the third, fourth, fifth and sixth years of life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1516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Appropriate testing of children with pharyngitis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Follow-up care for children prescribed ADHD medication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Adolescent well-care visits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Childhood immunization status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Immunizations for adolescents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Lead screening in children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Weight assessment and counseling for nutrition and physical activity for children/adolescents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Children's and adolescents' access to primary care practitioners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A447E9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Human Papillomavirus Vaccine for Female Adolescents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1959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Frequency of ongoing prenatal care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1391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Prenatal and postpartum care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1517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Well-child visits in the first 15 months of life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1392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Breast cancer screening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Colorectal cancer screening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Cervical cancer screening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Chlamydia screening in women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Adult BMI Assessment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Adults' access to preventive/ambulatory health services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Flu shots for older adults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Pneumonia vaccination status for older adults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Osteoporosis Testing in Older Women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Flu Shots for Adults Ages 50-64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Annual dental visit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1388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Initiation and engagement of alcohol and other drug dependence treatment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Medical Assistance With Smoking and Tobacco Use Cessation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Antidepressant medication management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576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Adherence to Antipsychotics for Individuals with Schizophrenia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Diabetes Screening for People with Schizophrenia or Bipolar Disorder Who are Using Antipsychotic Medications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</w:tr>
      <w:tr w:rsidR="00A447E9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Diabetes Monitoring for People with Diabetes and Schizophrenia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</w:tr>
      <w:tr w:rsidR="00C35BEA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A447E9" w:rsidRPr="00A447E9" w:rsidRDefault="00A447E9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Cardiovascular Monitoring for People with Cardiovascular Disease and Schizophrenia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447E9" w:rsidRPr="00A447E9" w:rsidRDefault="00A447E9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6E3BC" w:themeFill="accent3" w:themeFillTint="66"/>
            <w:vAlign w:val="center"/>
          </w:tcPr>
          <w:p w:rsidR="00EF605C" w:rsidRPr="00FD0323" w:rsidRDefault="00EF605C" w:rsidP="00EF605C">
            <w:pPr>
              <w:rPr>
                <w:rFonts w:ascii="Times New Roman" w:hAnsi="Times New Roman"/>
              </w:rPr>
            </w:pPr>
            <w:r w:rsidRPr="00FD03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Non-Recommended Cervical Cancer Screening in Adolescent Females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Default="00EF605C" w:rsidP="00EF605C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Asthma in younger adults (PQI 15)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PQI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283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Chronic obstructive pulmonary disease (PQI 5)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PQI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Congestive Heart Failure Admission Rate (PQI 8)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PQI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277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Diabetes Short-Term Complications Admission Rate (PQI 1)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PQI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272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Low Birth Weight Rate (PQI 9)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PQI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Screening for Clinical Depression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418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Measure pair: a. Tobacco Use Assessment, b. Tobacco Cessation Intervention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AMA-PCPI</w:t>
            </w:r>
          </w:p>
        </w:tc>
        <w:tc>
          <w:tcPr>
            <w:tcW w:w="886" w:type="dxa"/>
            <w:shd w:val="clear" w:color="auto" w:fill="D3DFEE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auto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Unhealthy Alcohol Use: Screening &amp; Brief Counseling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AMA-PCPI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2152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Asthma Emergency Department Visits</w:t>
            </w:r>
          </w:p>
        </w:tc>
        <w:tc>
          <w:tcPr>
            <w:tcW w:w="1219" w:type="dxa"/>
            <w:shd w:val="clear" w:color="auto" w:fill="D3DFEE"/>
            <w:vAlign w:val="center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1381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6E3BC" w:themeFill="accent3" w:themeFillTint="66"/>
          </w:tcPr>
          <w:p w:rsidR="00EF605C" w:rsidRPr="00DB1F2B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>Depression Utilization of the PHQ-9 Tool</w:t>
            </w:r>
          </w:p>
        </w:tc>
        <w:tc>
          <w:tcPr>
            <w:tcW w:w="1219" w:type="dxa"/>
            <w:shd w:val="clear" w:color="auto" w:fill="D6E3BC" w:themeFill="accent3" w:themeFillTint="66"/>
          </w:tcPr>
          <w:p w:rsidR="00EF605C" w:rsidRPr="00DB1F2B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</w:tcPr>
          <w:p w:rsidR="00EF605C" w:rsidRPr="00F549FF" w:rsidRDefault="00EF605C" w:rsidP="00EF605C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712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6E3BC" w:themeFill="accent3" w:themeFillTint="66"/>
          </w:tcPr>
          <w:p w:rsidR="00EF605C" w:rsidRPr="00DB1F2B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lastRenderedPageBreak/>
              <w:t>Maternal Depression Screening</w:t>
            </w:r>
          </w:p>
        </w:tc>
        <w:tc>
          <w:tcPr>
            <w:tcW w:w="1219" w:type="dxa"/>
            <w:shd w:val="clear" w:color="auto" w:fill="D6E3BC" w:themeFill="accent3" w:themeFillTint="66"/>
          </w:tcPr>
          <w:p w:rsidR="00EF605C" w:rsidRPr="00DB1F2B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</w:tcPr>
          <w:p w:rsidR="00EF605C" w:rsidRPr="00F549FF" w:rsidRDefault="00EF605C" w:rsidP="00EF605C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1401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gridSpan w:val="2"/>
            <w:shd w:val="clear" w:color="auto" w:fill="D6E3BC" w:themeFill="accent3" w:themeFillTint="66"/>
          </w:tcPr>
          <w:p w:rsidR="00EF605C" w:rsidRPr="00DB1F2B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 xml:space="preserve">Depression screening by 18 years of age </w:t>
            </w:r>
          </w:p>
        </w:tc>
        <w:tc>
          <w:tcPr>
            <w:tcW w:w="1219" w:type="dxa"/>
            <w:shd w:val="clear" w:color="auto" w:fill="D6E3BC" w:themeFill="accent3" w:themeFillTint="66"/>
          </w:tcPr>
          <w:p w:rsidR="00EF605C" w:rsidRPr="00DB1F2B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</w:tcPr>
          <w:p w:rsidR="00EF605C" w:rsidRPr="00F549FF" w:rsidRDefault="00EF605C" w:rsidP="00EF605C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1515</w:t>
            </w:r>
          </w:p>
        </w:tc>
      </w:tr>
    </w:tbl>
    <w:p w:rsidR="00EF605C" w:rsidRDefault="00EF605C"/>
    <w:tbl>
      <w:tblPr>
        <w:tblW w:w="98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3"/>
        <w:gridCol w:w="1219"/>
        <w:gridCol w:w="886"/>
      </w:tblGrid>
      <w:tr w:rsidR="00EF605C" w:rsidRPr="00D81026" w:rsidTr="00285B6E">
        <w:trPr>
          <w:trHeight w:val="146"/>
          <w:tblHeader/>
        </w:trPr>
        <w:tc>
          <w:tcPr>
            <w:tcW w:w="9858" w:type="dxa"/>
            <w:gridSpan w:val="3"/>
            <w:shd w:val="clear" w:color="auto" w:fill="auto"/>
            <w:vAlign w:val="center"/>
          </w:tcPr>
          <w:p w:rsidR="00EF605C" w:rsidRPr="004B76E8" w:rsidRDefault="00EF605C" w:rsidP="004B76E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6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Acute Care Hospitals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Prophylactic antibiotic received within 1-hour prior to surgical incision (SCIP-Inf-1a)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527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Prophylactic antibiotic selection for surgical patients (SCIP-Inf-2a)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528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Prophylactic antibiotics discontinued within 24 hours after surgery end time (SCIP-Inf-3a)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529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Cardiac Surgery Patients With Controlled Postoperative Blood Glucose (SCIP-Inf-4)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Urinary Catheter Removed on Postoperative Day 1 (POD 1) or Postoperative Day 2 (POD 2) with day of surgery being day zero (SCIP-Inf-9)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453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Surgery Patients with Perioperative Temperature Management (SCIP-Inf-10)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SCIP-Inf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452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Surgery patients with recommended venous thromboembolism prophylaxis ordered (SCIP-VTE-1)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SCIP-VTE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Surgery patients who received appropriate venous thromboembolism prophylaxis within 24 hours prior to surgery to 24 hours after surgery (SCIP-VTE-2)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SCIP-VTE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Surgery Patients on Beta-Blocker Therapy Prior to Arrival Who received a Beta-Blocker During the Perioperative Period (SCIP-Card-2)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SCIP-Card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Plan All-Cause Readmission (NCQA)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HEDIS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1768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Relievers for inpatient asthma (CAC 1)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CAC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Systemic corticosteroids for inpatient asthma (CAC 2)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CAC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</w:tr>
      <w:tr w:rsidR="00EF605C" w:rsidRPr="00D81026" w:rsidTr="00285B6E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Home Management Plan of Care Document Given to Patient/Caregiver (CAC 3)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CAC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Hospital-Wide All-Cause Unplanned Readmission Measure (Yale/CMS)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1789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Timely transmission of transition record (CCM 3)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CCM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Detailed Discharge Instructions (HF 1)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HF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Evaluation of Left Ventricular Systolic (LVS) Function (HF 2)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HF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Angiotensin converting enzyme inhibitor (ACEI) or angiotensin receptor blocker (ARB) for left ventricular systolic dysfunction (LVSD) (HF 3)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HF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Blood cultures performed in the emergency department prior to initial antibiotic received in hospital (PN 3b)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PN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Initial antibiotic selection for community-acquired pneumonia (CAP) in immunocompetent patients (PN 6)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PN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Aspirin prescribed at discharge for AMI (AMI 2)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Fibrinolytic therapy received within 30 minutes of hospital arrival (AMI 7a)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Primary percutaneous coronary intervention (PCI) received within 90 minutes of hospital arrival (AMI 8a)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Statin Prescribed at Discharge (AMI 10)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AMI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639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CAHPS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166/228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Computerized physician order entry standards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Leapfrog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Rate of Babies Electively Delivered Before Full-Term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Leapfrog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Hospice and Palliative Care – Treatment Preferences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1641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Pressure Ulcer Rate (PSI 3)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Iatrogenic Pneumothorax Rate (PSI 6)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346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Central Venous Catheter-related Blood Stream Infection Rate (PSI 7)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Post-operative Respiratory Failure Rate (PSI 11)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533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Post-operative Pulmonary Embolism or Deep Vein Thrombosis (PE/DVT) Rate (PSI 12)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Accidental Puncture or Laceration Rate (PSI 15)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345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Post-operative Hip Fracture Rate (PSI 8)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Birth Trauma Rate: Injury to Neonates (PSI 17)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Obstetric Trauma: Vaginal Delivery with Instrument (PSI 18)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Obstetric Trauma: Vaginal Delivery without Instrument (PSI 19)</w:t>
            </w:r>
          </w:p>
        </w:tc>
        <w:tc>
          <w:tcPr>
            <w:tcW w:w="1219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Patients discharged on multiple antipsychotic medications (HBIPS 4)</w:t>
            </w:r>
          </w:p>
        </w:tc>
        <w:tc>
          <w:tcPr>
            <w:tcW w:w="1219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HBIPS</w:t>
            </w:r>
          </w:p>
        </w:tc>
        <w:tc>
          <w:tcPr>
            <w:tcW w:w="886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552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Post discharge continuing care plan transmitted to next level of care provider upon discharge (HBIPS 7)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HBIPS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558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Post discharge continuing care plan created (HBIPS 6)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HBIPS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557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High-risk Newborn Deliveries (PC-03)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PC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476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Newborn Bilirubin Screening &amp; DVT Prophylaxis in Women Undergoing Cesarean Section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Incidence of Episiotomy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Aortic Valve Replacement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Pancreatic Resection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738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Cesarean Section (PC-02)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PC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471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Patient Safety Composite (PSI 90)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PSI</w:t>
            </w: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531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Pneumonia 30-day mortality rate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468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Heart failure 30-day mortality rate 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229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AMI 30-day mortality rate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230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Hospital-onset methicillin resistant staphylococcus bacteremia aureus (MRSA) 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1716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Central-Line Associated Bloodstream Infection 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139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Hospital-onset </w:t>
            </w:r>
            <w:r w:rsidRPr="00EF605C">
              <w:rPr>
                <w:rFonts w:asciiTheme="majorHAnsi" w:eastAsia="Times New Roman" w:hAnsiTheme="majorHAnsi"/>
                <w:i/>
                <w:sz w:val="20"/>
                <w:szCs w:val="20"/>
              </w:rPr>
              <w:t>C. difficile</w:t>
            </w: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1717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>Catheter-Associated Urinary Tract Infections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138</w:t>
            </w:r>
          </w:p>
        </w:tc>
      </w:tr>
      <w:tr w:rsidR="00EF605C" w:rsidRPr="00D81026" w:rsidTr="00285B6E">
        <w:trPr>
          <w:trHeight w:val="70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sz w:val="20"/>
                <w:szCs w:val="20"/>
              </w:rPr>
              <w:t xml:space="preserve">SSI Surgical Site Infection:  SSI colon, SSI-abdominal hysterectomy </w:t>
            </w:r>
          </w:p>
        </w:tc>
        <w:tc>
          <w:tcPr>
            <w:tcW w:w="1219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6E3BC" w:themeFill="accent3" w:themeFillTint="66"/>
            <w:vAlign w:val="center"/>
          </w:tcPr>
          <w:p w:rsidR="00EF605C" w:rsidRPr="00EF605C" w:rsidRDefault="00EF605C" w:rsidP="00EF605C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EF605C">
              <w:rPr>
                <w:rFonts w:asciiTheme="majorHAnsi" w:eastAsia="Times New Roman" w:hAnsiTheme="majorHAnsi"/>
                <w:bCs/>
                <w:sz w:val="20"/>
                <w:szCs w:val="20"/>
              </w:rPr>
              <w:t>753</w:t>
            </w:r>
          </w:p>
        </w:tc>
      </w:tr>
    </w:tbl>
    <w:p w:rsidR="00EF605C" w:rsidRDefault="00EF605C"/>
    <w:tbl>
      <w:tblPr>
        <w:tblW w:w="98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3"/>
        <w:gridCol w:w="1230"/>
        <w:gridCol w:w="887"/>
      </w:tblGrid>
      <w:tr w:rsidR="00EF605C" w:rsidRPr="00D81026" w:rsidTr="005913E0">
        <w:trPr>
          <w:trHeight w:val="146"/>
        </w:trPr>
        <w:tc>
          <w:tcPr>
            <w:tcW w:w="9870" w:type="dxa"/>
            <w:gridSpan w:val="3"/>
            <w:shd w:val="clear" w:color="auto" w:fill="D3DFEE"/>
          </w:tcPr>
          <w:p w:rsidR="00EF605C" w:rsidRPr="004B76E8" w:rsidRDefault="00EF605C" w:rsidP="00A447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6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Home Health Agencies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Acute care hospitalization (risk-adjusted)</w:t>
            </w:r>
          </w:p>
        </w:tc>
        <w:tc>
          <w:tcPr>
            <w:tcW w:w="1230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OASIS</w:t>
            </w:r>
          </w:p>
        </w:tc>
        <w:tc>
          <w:tcPr>
            <w:tcW w:w="887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Emergency Department Care without Hospitalization (risk-adjusted)</w:t>
            </w:r>
          </w:p>
        </w:tc>
        <w:tc>
          <w:tcPr>
            <w:tcW w:w="1230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OASIS</w:t>
            </w:r>
          </w:p>
        </w:tc>
        <w:tc>
          <w:tcPr>
            <w:tcW w:w="887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Timely Initiation of Care</w:t>
            </w:r>
          </w:p>
        </w:tc>
        <w:tc>
          <w:tcPr>
            <w:tcW w:w="1230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OASIS</w:t>
            </w:r>
          </w:p>
        </w:tc>
        <w:tc>
          <w:tcPr>
            <w:tcW w:w="887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526</w:t>
            </w:r>
          </w:p>
        </w:tc>
      </w:tr>
    </w:tbl>
    <w:p w:rsidR="00A77FE7" w:rsidRDefault="00A77FE7"/>
    <w:tbl>
      <w:tblPr>
        <w:tblW w:w="98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3"/>
        <w:gridCol w:w="1230"/>
        <w:gridCol w:w="887"/>
      </w:tblGrid>
      <w:tr w:rsidR="00EF605C" w:rsidRPr="00D81026" w:rsidTr="004B76E8">
        <w:trPr>
          <w:trHeight w:val="323"/>
        </w:trPr>
        <w:tc>
          <w:tcPr>
            <w:tcW w:w="9870" w:type="dxa"/>
            <w:gridSpan w:val="3"/>
            <w:shd w:val="clear" w:color="auto" w:fill="auto"/>
          </w:tcPr>
          <w:p w:rsidR="00EF605C" w:rsidRPr="004B76E8" w:rsidRDefault="00EF605C" w:rsidP="00A447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6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Skilled Nursing Facilities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Percent of Residents with Pressure Ulcers That Are New or Worsened (Short-Stay)</w:t>
            </w:r>
          </w:p>
        </w:tc>
        <w:tc>
          <w:tcPr>
            <w:tcW w:w="1230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678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Percent of High Risk Residents with Pressure Ulcers (Long Stay)</w:t>
            </w:r>
          </w:p>
        </w:tc>
        <w:tc>
          <w:tcPr>
            <w:tcW w:w="1230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679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auto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Percent of Residents Who Self-Report Moderate to Severe Pain (Short-Stay)</w:t>
            </w:r>
          </w:p>
        </w:tc>
        <w:tc>
          <w:tcPr>
            <w:tcW w:w="1230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676</w:t>
            </w:r>
          </w:p>
        </w:tc>
      </w:tr>
      <w:tr w:rsidR="00EF605C" w:rsidRPr="00D81026" w:rsidTr="00A447E9">
        <w:trPr>
          <w:trHeight w:val="146"/>
        </w:trPr>
        <w:tc>
          <w:tcPr>
            <w:tcW w:w="7753" w:type="dxa"/>
            <w:shd w:val="clear" w:color="auto" w:fill="D3DFEE"/>
          </w:tcPr>
          <w:p w:rsidR="00EF605C" w:rsidRPr="00A447E9" w:rsidRDefault="00EF605C" w:rsidP="008A30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bCs/>
                <w:sz w:val="20"/>
                <w:szCs w:val="20"/>
              </w:rPr>
              <w:t>Percent of Residents Who Self-Report Moderate to Severe Pain (Long-Stay)</w:t>
            </w:r>
          </w:p>
        </w:tc>
        <w:tc>
          <w:tcPr>
            <w:tcW w:w="1230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3DFEE"/>
          </w:tcPr>
          <w:p w:rsidR="00EF605C" w:rsidRPr="00A447E9" w:rsidRDefault="00EF605C" w:rsidP="00A447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7E9">
              <w:rPr>
                <w:rFonts w:ascii="Times New Roman" w:eastAsia="Times New Roman" w:hAnsi="Times New Roman"/>
                <w:sz w:val="20"/>
                <w:szCs w:val="20"/>
              </w:rPr>
              <w:t>677</w:t>
            </w:r>
          </w:p>
        </w:tc>
      </w:tr>
    </w:tbl>
    <w:p w:rsidR="00285B6E" w:rsidRDefault="00285B6E" w:rsidP="003B3BCE">
      <w:pPr>
        <w:rPr>
          <w:rFonts w:ascii="Times New Roman" w:hAnsi="Times New Roman"/>
        </w:rPr>
      </w:pPr>
    </w:p>
    <w:tbl>
      <w:tblPr>
        <w:tblW w:w="98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3"/>
        <w:gridCol w:w="1230"/>
        <w:gridCol w:w="887"/>
      </w:tblGrid>
      <w:tr w:rsidR="00A77FE7" w:rsidRPr="00D81026" w:rsidTr="00B056DA">
        <w:trPr>
          <w:trHeight w:val="323"/>
        </w:trPr>
        <w:tc>
          <w:tcPr>
            <w:tcW w:w="9870" w:type="dxa"/>
            <w:gridSpan w:val="3"/>
            <w:shd w:val="clear" w:color="auto" w:fill="auto"/>
          </w:tcPr>
          <w:p w:rsidR="00A77FE7" w:rsidRPr="004B76E8" w:rsidRDefault="00A77FE7" w:rsidP="00B056D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Additional Measures for Post-Acute Services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>Proportion admitted to hospice for less than 3 days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>216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 xml:space="preserve">Advance Care Plan 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>326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/>
                <w:bCs/>
                <w:sz w:val="20"/>
                <w:szCs w:val="20"/>
              </w:rPr>
              <w:t>Palliative and End of Life Care: Dyspnea Screening &amp; Management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DB1F2B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Pain Scre</w:t>
            </w:r>
            <w:r>
              <w:rPr>
                <w:rFonts w:asciiTheme="majorHAnsi" w:eastAsia="Times New Roman" w:hAnsiTheme="majorHAnsi"/>
                <w:bCs/>
                <w:sz w:val="20"/>
                <w:szCs w:val="20"/>
              </w:rPr>
              <w:t>ening*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HIS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1634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Pain Assessment</w:t>
            </w:r>
            <w:r>
              <w:rPr>
                <w:rFonts w:asciiTheme="majorHAnsi" w:eastAsia="Times New Roman" w:hAnsiTheme="majorHAnsi"/>
                <w:bCs/>
                <w:sz w:val="20"/>
                <w:szCs w:val="20"/>
              </w:rPr>
              <w:t>*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HIS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1637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Dyspnea Screening</w:t>
            </w:r>
            <w:r>
              <w:rPr>
                <w:rFonts w:asciiTheme="majorHAnsi" w:eastAsia="Times New Roman" w:hAnsiTheme="majorHAnsi"/>
                <w:bCs/>
                <w:sz w:val="20"/>
                <w:szCs w:val="20"/>
              </w:rPr>
              <w:t>*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HIS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1639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Dyspnea Treatment</w:t>
            </w:r>
            <w:r>
              <w:rPr>
                <w:rFonts w:asciiTheme="majorHAnsi" w:eastAsia="Times New Roman" w:hAnsiTheme="majorHAnsi"/>
                <w:bCs/>
                <w:sz w:val="20"/>
                <w:szCs w:val="20"/>
              </w:rPr>
              <w:t>*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HIS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1638</w:t>
            </w:r>
          </w:p>
        </w:tc>
      </w:tr>
      <w:tr w:rsidR="00A77FE7" w:rsidRPr="00D81026" w:rsidTr="00A77FE7">
        <w:trPr>
          <w:trHeight w:val="146"/>
        </w:trPr>
        <w:tc>
          <w:tcPr>
            <w:tcW w:w="7753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Beliefs/Values Addressed</w:t>
            </w:r>
            <w:r>
              <w:rPr>
                <w:rFonts w:asciiTheme="majorHAnsi" w:eastAsia="Times New Roman" w:hAnsiTheme="majorHAnsi"/>
                <w:bCs/>
                <w:sz w:val="20"/>
                <w:szCs w:val="20"/>
              </w:rPr>
              <w:t>*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HIS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A77FE7" w:rsidRPr="00F70AB6" w:rsidRDefault="00A77FE7" w:rsidP="00B056DA">
            <w:pPr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/>
                <w:bCs/>
                <w:sz w:val="20"/>
                <w:szCs w:val="20"/>
              </w:rPr>
              <w:t>1647</w:t>
            </w:r>
          </w:p>
        </w:tc>
      </w:tr>
    </w:tbl>
    <w:p w:rsidR="00A77FE7" w:rsidRDefault="00A77FE7" w:rsidP="00285B6E">
      <w:pPr>
        <w:rPr>
          <w:rFonts w:ascii="Times New Roman" w:hAnsi="Times New Roman"/>
        </w:rPr>
      </w:pPr>
    </w:p>
    <w:p w:rsidR="00A77FE7" w:rsidRDefault="00A77FE7" w:rsidP="00285B6E">
      <w:pPr>
        <w:rPr>
          <w:rFonts w:ascii="Times New Roman" w:hAnsi="Times New Roman"/>
        </w:rPr>
      </w:pPr>
    </w:p>
    <w:p w:rsidR="00285B6E" w:rsidRDefault="003B3BCE" w:rsidP="00285B6E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748F" wp14:editId="7A069179">
                <wp:simplePos x="0" y="0"/>
                <wp:positionH relativeFrom="column">
                  <wp:posOffset>-19050</wp:posOffset>
                </wp:positionH>
                <wp:positionV relativeFrom="paragraph">
                  <wp:posOffset>299720</wp:posOffset>
                </wp:positionV>
                <wp:extent cx="609600" cy="15240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.5pt;margin-top:23.6pt;width:4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" fillcolor="#c3d69b" stroked="f" strokeweight="2pt"/>
            </w:pict>
          </mc:Fallback>
        </mc:AlternateContent>
      </w:r>
      <w:r w:rsidR="00285B6E">
        <w:rPr>
          <w:rFonts w:ascii="Times New Roman" w:hAnsi="Times New Roman"/>
        </w:rPr>
        <w:t>Key:</w:t>
      </w:r>
    </w:p>
    <w:p w:rsidR="00285B6E" w:rsidRDefault="003B3BCE" w:rsidP="003B3BCE">
      <w:pPr>
        <w:tabs>
          <w:tab w:val="left" w:pos="13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Measure added in 2014</w:t>
      </w:r>
    </w:p>
    <w:p w:rsidR="00161749" w:rsidRPr="00DB37C2" w:rsidRDefault="007338C0" w:rsidP="00A447E9">
      <w:pPr>
        <w:rPr>
          <w:rFonts w:ascii="Times New Roman" w:hAnsi="Times New Roman"/>
        </w:rPr>
      </w:pPr>
      <w:r w:rsidRPr="00DB37C2">
        <w:rPr>
          <w:rFonts w:ascii="Times New Roman" w:hAnsi="Times New Roman"/>
        </w:rPr>
        <w:t xml:space="preserve">* </w:t>
      </w:r>
      <w:r w:rsidR="003B3BCE">
        <w:rPr>
          <w:rFonts w:ascii="Times New Roman" w:hAnsi="Times New Roman"/>
        </w:rPr>
        <w:tab/>
        <w:t xml:space="preserve">           </w:t>
      </w:r>
      <w:r w:rsidR="00161749" w:rsidRPr="00DB37C2">
        <w:rPr>
          <w:rFonts w:ascii="Times New Roman" w:hAnsi="Times New Roman"/>
        </w:rPr>
        <w:t>National Quality Forum</w:t>
      </w:r>
      <w:r w:rsidR="003F116E" w:rsidRPr="00DB37C2">
        <w:rPr>
          <w:rFonts w:ascii="Times New Roman" w:hAnsi="Times New Roman"/>
        </w:rPr>
        <w:t xml:space="preserve"> </w:t>
      </w:r>
    </w:p>
    <w:p w:rsidR="009723E3" w:rsidRDefault="009723E3"/>
    <w:sectPr w:rsidR="009723E3" w:rsidSect="00FD7EF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714" w:left="1440" w:header="244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1B" w:rsidRDefault="00BA5E1B">
      <w:r>
        <w:separator/>
      </w:r>
    </w:p>
  </w:endnote>
  <w:endnote w:type="continuationSeparator" w:id="0">
    <w:p w:rsidR="00BA5E1B" w:rsidRDefault="00B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A" w:rsidRDefault="00B056D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457D">
      <w:rPr>
        <w:noProof/>
      </w:rPr>
      <w:t>2</w:t>
    </w:r>
    <w:r>
      <w:rPr>
        <w:noProof/>
      </w:rPr>
      <w:fldChar w:fldCharType="end"/>
    </w:r>
  </w:p>
  <w:p w:rsidR="00B056DA" w:rsidRDefault="00B05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A" w:rsidRDefault="00B056DA" w:rsidP="00C35BEA">
    <w:pPr>
      <w:pStyle w:val="Footer"/>
      <w:tabs>
        <w:tab w:val="clear" w:pos="4320"/>
        <w:tab w:val="clear" w:pos="8640"/>
        <w:tab w:val="left" w:pos="6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D24A93" wp14:editId="5B83D6CC">
              <wp:simplePos x="0" y="0"/>
              <wp:positionH relativeFrom="column">
                <wp:posOffset>4313555</wp:posOffset>
              </wp:positionH>
              <wp:positionV relativeFrom="paragraph">
                <wp:posOffset>-205740</wp:posOffset>
              </wp:positionV>
              <wp:extent cx="2377440" cy="113030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6DA" w:rsidRPr="00282694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28269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282694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28269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B056DA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</w:pPr>
                        </w:p>
                        <w:p w:rsidR="00B056DA" w:rsidRPr="00282694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8269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</w:p>
                        <w:p w:rsidR="00B056DA" w:rsidRPr="00282694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8269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:rsidR="00B056DA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B056DA" w:rsidRPr="001D5DE2" w:rsidRDefault="00B056DA" w:rsidP="00C35BEA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:rsidR="00B056DA" w:rsidRDefault="00B056DA" w:rsidP="00C35BE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65pt;margin-top:-16.2pt;width:187.2pt;height:89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" stroked="f">
              <v:textbox style="mso-fit-shape-to-text:t">
                <w:txbxContent>
                  <w:p w:rsidR="00EF605C" w:rsidRPr="00282694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28269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282694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28269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F605C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</w:pPr>
                  </w:p>
                  <w:p w:rsidR="00EF605C" w:rsidRPr="00282694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28269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  <w:proofErr w:type="gramEnd"/>
                  </w:p>
                  <w:p w:rsidR="00EF605C" w:rsidRPr="00282694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28269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EF605C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F605C" w:rsidRPr="001D5DE2" w:rsidRDefault="00EF605C" w:rsidP="00C35BEA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:rsidR="00EF605C" w:rsidRDefault="00EF605C" w:rsidP="00C35BEA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1457D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  <w:p w:rsidR="00B056DA" w:rsidRDefault="00B05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1B" w:rsidRDefault="00BA5E1B">
      <w:r>
        <w:separator/>
      </w:r>
    </w:p>
  </w:footnote>
  <w:footnote w:type="continuationSeparator" w:id="0">
    <w:p w:rsidR="00BA5E1B" w:rsidRDefault="00BA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A" w:rsidRDefault="00B05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A" w:rsidRDefault="00B056DA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0C38DBE" wp14:editId="09216953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915"/>
    <w:multiLevelType w:val="hybridMultilevel"/>
    <w:tmpl w:val="9C2E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E9"/>
    <w:rsid w:val="0001457D"/>
    <w:rsid w:val="000675E6"/>
    <w:rsid w:val="000B5CB8"/>
    <w:rsid w:val="001128D6"/>
    <w:rsid w:val="00161749"/>
    <w:rsid w:val="001D5DE2"/>
    <w:rsid w:val="002122F7"/>
    <w:rsid w:val="00237CB6"/>
    <w:rsid w:val="00285B6E"/>
    <w:rsid w:val="00313074"/>
    <w:rsid w:val="003B3BCE"/>
    <w:rsid w:val="003F116E"/>
    <w:rsid w:val="004306E1"/>
    <w:rsid w:val="004A4DBA"/>
    <w:rsid w:val="004B76E8"/>
    <w:rsid w:val="00506828"/>
    <w:rsid w:val="00524B06"/>
    <w:rsid w:val="005913E0"/>
    <w:rsid w:val="00592794"/>
    <w:rsid w:val="0059770A"/>
    <w:rsid w:val="005F479F"/>
    <w:rsid w:val="006213C5"/>
    <w:rsid w:val="006D0412"/>
    <w:rsid w:val="00720073"/>
    <w:rsid w:val="007338C0"/>
    <w:rsid w:val="007D7627"/>
    <w:rsid w:val="008A301C"/>
    <w:rsid w:val="008A6188"/>
    <w:rsid w:val="008F7FC5"/>
    <w:rsid w:val="00954B72"/>
    <w:rsid w:val="009723E3"/>
    <w:rsid w:val="009C12CE"/>
    <w:rsid w:val="00A447E9"/>
    <w:rsid w:val="00A77FE7"/>
    <w:rsid w:val="00AC425E"/>
    <w:rsid w:val="00B056DA"/>
    <w:rsid w:val="00B059DE"/>
    <w:rsid w:val="00B251CF"/>
    <w:rsid w:val="00B34506"/>
    <w:rsid w:val="00BA5E1B"/>
    <w:rsid w:val="00C27D5D"/>
    <w:rsid w:val="00C35BEA"/>
    <w:rsid w:val="00C57938"/>
    <w:rsid w:val="00CE5960"/>
    <w:rsid w:val="00DA540F"/>
    <w:rsid w:val="00DB37C2"/>
    <w:rsid w:val="00DD3C26"/>
    <w:rsid w:val="00E8250E"/>
    <w:rsid w:val="00EF605C"/>
    <w:rsid w:val="00F86A64"/>
    <w:rsid w:val="00FC528D"/>
    <w:rsid w:val="00FD7EFE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53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A4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7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47E9"/>
    <w:rPr>
      <w:rFonts w:ascii="Calibri" w:eastAsia="Calibri" w:hAnsi="Calibri"/>
    </w:rPr>
  </w:style>
  <w:style w:type="table" w:customStyle="1" w:styleId="LightShading-Accent11">
    <w:name w:val="Light Shading - Accent 11"/>
    <w:basedOn w:val="TableNormal"/>
    <w:uiPriority w:val="60"/>
    <w:rsid w:val="00A447E9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oterChar">
    <w:name w:val="Footer Char"/>
    <w:link w:val="Footer"/>
    <w:rsid w:val="00A447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8C0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285B6E"/>
    <w:pPr>
      <w:ind w:left="720"/>
      <w:contextualSpacing/>
    </w:pPr>
  </w:style>
  <w:style w:type="table" w:styleId="TableGrid">
    <w:name w:val="Table Grid"/>
    <w:basedOn w:val="TableNormal"/>
    <w:uiPriority w:val="59"/>
    <w:rsid w:val="0028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53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A4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7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47E9"/>
    <w:rPr>
      <w:rFonts w:ascii="Calibri" w:eastAsia="Calibri" w:hAnsi="Calibri"/>
    </w:rPr>
  </w:style>
  <w:style w:type="table" w:customStyle="1" w:styleId="LightShading-Accent11">
    <w:name w:val="Light Shading - Accent 11"/>
    <w:basedOn w:val="TableNormal"/>
    <w:uiPriority w:val="60"/>
    <w:rsid w:val="00A447E9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oterChar">
    <w:name w:val="Footer Char"/>
    <w:link w:val="Footer"/>
    <w:rsid w:val="00A447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8C0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285B6E"/>
    <w:pPr>
      <w:ind w:left="720"/>
      <w:contextualSpacing/>
    </w:pPr>
  </w:style>
  <w:style w:type="table" w:styleId="TableGrid">
    <w:name w:val="Table Grid"/>
    <w:basedOn w:val="TableNormal"/>
    <w:uiPriority w:val="59"/>
    <w:rsid w:val="0028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header" Target="header2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G:/ALLDHCFP/Administration/CHIA%20Policies,%20Forms%20and%20Templates/Letterhead/CHIAletterhead%20TB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B168-4E33-41AA-AAC5-7DFBC064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CHIAletterhead TB.dotx</Template>
  <TotalTime>0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2014-11-06T17:02:00Z</dcterms:created>
  <dc:creator>Cristi Carman</dc:creator>
  <lastModifiedBy>Wil B</lastModifiedBy>
  <lastPrinted>2014-05-02T15:39:00Z</lastPrinted>
  <dcterms:modified xsi:type="dcterms:W3CDTF">2014-11-06T17:02:00Z</dcterms:modified>
  <revision>2</revision>
</coreProperties>
</file>