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66" w:rsidRPr="00380FDA" w:rsidRDefault="00A55D66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780AC4">
        <w:rPr>
          <w:rFonts w:ascii="Times New Roman" w:eastAsia="Times New Roman" w:hAnsi="Times New Roman"/>
          <w:b/>
          <w:bCs/>
          <w:sz w:val="24"/>
          <w:szCs w:val="24"/>
        </w:rPr>
        <w:t xml:space="preserve">Administrative Bulletin </w:t>
      </w:r>
      <w:r w:rsidR="00380FDA" w:rsidRPr="00380FDA">
        <w:rPr>
          <w:rFonts w:ascii="Times New Roman" w:eastAsia="Times New Roman" w:hAnsi="Times New Roman"/>
          <w:b/>
          <w:bCs/>
          <w:sz w:val="24"/>
          <w:szCs w:val="24"/>
        </w:rPr>
        <w:t>16</w:t>
      </w:r>
      <w:r w:rsidR="00925555" w:rsidRPr="00780AC4"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="00380FDA" w:rsidRPr="00380FDA">
        <w:rPr>
          <w:rFonts w:ascii="Times New Roman" w:eastAsia="Times New Roman" w:hAnsi="Times New Roman"/>
          <w:b/>
          <w:bCs/>
          <w:sz w:val="24"/>
          <w:szCs w:val="24"/>
        </w:rPr>
        <w:t>04</w:t>
      </w:r>
    </w:p>
    <w:p w:rsidR="00E80578" w:rsidRPr="007F76A7" w:rsidRDefault="00E80578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55D66" w:rsidRDefault="00A55D66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84852">
        <w:rPr>
          <w:rFonts w:ascii="Times New Roman" w:eastAsia="Times New Roman" w:hAnsi="Times New Roman"/>
          <w:b/>
          <w:bCs/>
          <w:sz w:val="24"/>
          <w:szCs w:val="24"/>
        </w:rPr>
        <w:t>957 CMR 2:00: Payer Data Reporting</w:t>
      </w:r>
    </w:p>
    <w:p w:rsidR="00AA7D23" w:rsidRPr="00AA7D23" w:rsidRDefault="00AA7D23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55D66" w:rsidRPr="0023027F" w:rsidRDefault="00A55D66" w:rsidP="00E80578">
      <w:pPr>
        <w:keepLines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3027F">
        <w:rPr>
          <w:rFonts w:ascii="Times New Roman" w:eastAsia="Times New Roman" w:hAnsi="Times New Roman"/>
          <w:b/>
          <w:sz w:val="24"/>
          <w:szCs w:val="24"/>
        </w:rPr>
        <w:t xml:space="preserve">Effective </w:t>
      </w:r>
      <w:r w:rsidR="00565FE1" w:rsidRPr="0023027F">
        <w:rPr>
          <w:rFonts w:ascii="Times New Roman" w:eastAsia="Times New Roman" w:hAnsi="Times New Roman"/>
          <w:b/>
          <w:sz w:val="24"/>
          <w:szCs w:val="24"/>
        </w:rPr>
        <w:t>March</w:t>
      </w:r>
      <w:r w:rsidR="00A85843" w:rsidRPr="0023027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80AC4" w:rsidRPr="0023027F">
        <w:rPr>
          <w:rFonts w:ascii="Times New Roman" w:eastAsia="Times New Roman" w:hAnsi="Times New Roman"/>
          <w:b/>
          <w:sz w:val="24"/>
          <w:szCs w:val="24"/>
        </w:rPr>
        <w:t>11</w:t>
      </w:r>
      <w:r w:rsidR="00E80578" w:rsidRPr="0023027F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E36470" w:rsidRPr="0023027F">
        <w:rPr>
          <w:rFonts w:ascii="Times New Roman" w:eastAsia="Times New Roman" w:hAnsi="Times New Roman"/>
          <w:b/>
          <w:sz w:val="24"/>
          <w:szCs w:val="24"/>
        </w:rPr>
        <w:t>2016</w:t>
      </w:r>
    </w:p>
    <w:p w:rsidR="00E80578" w:rsidRDefault="00E80578" w:rsidP="00E80578">
      <w:pPr>
        <w:keepLines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780AC4" w:rsidRPr="0073636C" w:rsidRDefault="00780AC4" w:rsidP="00E80578">
      <w:pPr>
        <w:keepLines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636C">
        <w:rPr>
          <w:rFonts w:ascii="Times New Roman" w:eastAsia="Times New Roman" w:hAnsi="Times New Roman"/>
          <w:b/>
          <w:sz w:val="24"/>
          <w:szCs w:val="24"/>
        </w:rPr>
        <w:t xml:space="preserve">Extended Filing Deadline and </w:t>
      </w:r>
    </w:p>
    <w:p w:rsidR="005A1142" w:rsidRDefault="00A04003" w:rsidP="005A1142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03D38">
        <w:rPr>
          <w:rFonts w:ascii="Times New Roman" w:eastAsia="Times New Roman" w:hAnsi="Times New Roman"/>
          <w:b/>
          <w:bCs/>
          <w:sz w:val="24"/>
          <w:szCs w:val="24"/>
        </w:rPr>
        <w:t xml:space="preserve">Revision of Reporting Requirements for </w:t>
      </w:r>
      <w:r w:rsidR="00234AF0" w:rsidRPr="005A1142">
        <w:rPr>
          <w:rFonts w:ascii="Times New Roman" w:eastAsia="Times New Roman" w:hAnsi="Times New Roman"/>
          <w:b/>
          <w:bCs/>
          <w:sz w:val="24"/>
          <w:szCs w:val="24"/>
        </w:rPr>
        <w:t xml:space="preserve">Total Medical </w:t>
      </w:r>
    </w:p>
    <w:p w:rsidR="00A55D66" w:rsidRPr="005A1142" w:rsidRDefault="00234AF0" w:rsidP="00A9192C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A1142">
        <w:rPr>
          <w:rFonts w:ascii="Times New Roman" w:eastAsia="Times New Roman" w:hAnsi="Times New Roman"/>
          <w:b/>
          <w:bCs/>
          <w:sz w:val="24"/>
          <w:szCs w:val="24"/>
        </w:rPr>
        <w:t>Expense</w:t>
      </w:r>
      <w:r w:rsidR="00AA7D23">
        <w:rPr>
          <w:rFonts w:ascii="Times New Roman" w:eastAsia="Times New Roman" w:hAnsi="Times New Roman"/>
          <w:b/>
          <w:bCs/>
          <w:sz w:val="24"/>
          <w:szCs w:val="24"/>
        </w:rPr>
        <w:t xml:space="preserve"> and</w:t>
      </w:r>
      <w:r w:rsidRPr="005A114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100DB" w:rsidRPr="005A1142">
        <w:rPr>
          <w:rFonts w:ascii="Times New Roman" w:eastAsia="Times New Roman" w:hAnsi="Times New Roman"/>
          <w:b/>
          <w:bCs/>
          <w:sz w:val="24"/>
          <w:szCs w:val="24"/>
        </w:rPr>
        <w:t>Alternative Payment Method</w:t>
      </w:r>
      <w:r w:rsidRPr="005A114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100DB" w:rsidRPr="005A1142">
        <w:rPr>
          <w:rFonts w:ascii="Times New Roman" w:eastAsia="Times New Roman" w:hAnsi="Times New Roman"/>
          <w:b/>
          <w:bCs/>
          <w:sz w:val="24"/>
          <w:szCs w:val="24"/>
        </w:rPr>
        <w:t xml:space="preserve">Data </w:t>
      </w:r>
    </w:p>
    <w:p w:rsidR="00E80578" w:rsidRPr="00AA7D23" w:rsidRDefault="00E80578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100DB" w:rsidRPr="00780AC4" w:rsidRDefault="00E96EEE" w:rsidP="005F5234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  <w:r w:rsidRPr="00AA7D23">
        <w:rPr>
          <w:rFonts w:ascii="Times New Roman" w:eastAsia="Times New Roman" w:hAnsi="Times New Roman"/>
          <w:sz w:val="24"/>
          <w:szCs w:val="24"/>
        </w:rPr>
        <w:t>Pursuant to 957 CMR 2.07(1), the Center for Health Information and Analysis (“CHIA”) is issuing</w:t>
      </w:r>
      <w:r w:rsidR="000100DB" w:rsidRPr="00AA7D23">
        <w:rPr>
          <w:rFonts w:ascii="Times New Roman" w:eastAsia="Times New Roman" w:hAnsi="Times New Roman"/>
          <w:sz w:val="24"/>
          <w:szCs w:val="24"/>
        </w:rPr>
        <w:t xml:space="preserve"> this Administrative Bulletin to </w:t>
      </w:r>
      <w:r w:rsidR="00380FDA">
        <w:rPr>
          <w:rFonts w:ascii="Times New Roman" w:eastAsia="Times New Roman" w:hAnsi="Times New Roman"/>
          <w:sz w:val="24"/>
          <w:szCs w:val="24"/>
        </w:rPr>
        <w:t>revise</w:t>
      </w:r>
      <w:r w:rsidR="000100DB" w:rsidRPr="00780AC4">
        <w:rPr>
          <w:rFonts w:ascii="Times New Roman" w:eastAsia="Times New Roman" w:hAnsi="Times New Roman"/>
          <w:sz w:val="24"/>
          <w:szCs w:val="24"/>
        </w:rPr>
        <w:t xml:space="preserve"> the </w:t>
      </w:r>
      <w:r w:rsidR="00AA7D23">
        <w:rPr>
          <w:rFonts w:ascii="Times New Roman" w:eastAsia="Times New Roman" w:hAnsi="Times New Roman"/>
          <w:sz w:val="24"/>
          <w:szCs w:val="24"/>
        </w:rPr>
        <w:t xml:space="preserve">data </w:t>
      </w:r>
      <w:r w:rsidR="0018083D">
        <w:rPr>
          <w:rFonts w:ascii="Times New Roman" w:eastAsia="Times New Roman" w:hAnsi="Times New Roman"/>
          <w:sz w:val="24"/>
          <w:szCs w:val="24"/>
        </w:rPr>
        <w:t xml:space="preserve">reporting requirements for </w:t>
      </w:r>
      <w:r w:rsidR="000100DB" w:rsidRPr="00780AC4">
        <w:rPr>
          <w:rFonts w:ascii="Times New Roman" w:eastAsia="Times New Roman" w:hAnsi="Times New Roman"/>
          <w:sz w:val="24"/>
          <w:szCs w:val="24"/>
        </w:rPr>
        <w:t>Total Medical Expenses (“TME”) and Alternative Payment Methods (“APM”)</w:t>
      </w:r>
      <w:r w:rsidR="00780AC4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18083D">
        <w:rPr>
          <w:rFonts w:ascii="Times New Roman" w:eastAsia="Times New Roman" w:hAnsi="Times New Roman"/>
          <w:sz w:val="24"/>
          <w:szCs w:val="24"/>
        </w:rPr>
        <w:t xml:space="preserve">to </w:t>
      </w:r>
      <w:r w:rsidR="00780AC4">
        <w:rPr>
          <w:rFonts w:ascii="Times New Roman" w:eastAsia="Times New Roman" w:hAnsi="Times New Roman"/>
          <w:sz w:val="24"/>
          <w:szCs w:val="24"/>
        </w:rPr>
        <w:t>also extend the filing deadline</w:t>
      </w:r>
      <w:r w:rsidR="0018083D">
        <w:rPr>
          <w:rFonts w:ascii="Times New Roman" w:eastAsia="Times New Roman" w:hAnsi="Times New Roman"/>
          <w:sz w:val="24"/>
          <w:szCs w:val="24"/>
        </w:rPr>
        <w:t xml:space="preserve"> for all data submissions</w:t>
      </w:r>
      <w:r w:rsidR="000100DB" w:rsidRPr="00780AC4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100DB" w:rsidRPr="00780AC4" w:rsidRDefault="000100DB" w:rsidP="005F5234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:rsidR="000100DB" w:rsidRPr="00780AC4" w:rsidRDefault="000100DB" w:rsidP="002343DC">
      <w:pPr>
        <w:pStyle w:val="ListParagraph"/>
        <w:keepLines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780AC4">
        <w:rPr>
          <w:rFonts w:ascii="Times New Roman" w:eastAsia="Times New Roman" w:hAnsi="Times New Roman"/>
          <w:sz w:val="24"/>
          <w:szCs w:val="24"/>
          <w:u w:val="single"/>
        </w:rPr>
        <w:t>Health-Status Adjusted Total Medical Expenses</w:t>
      </w:r>
      <w:r w:rsidR="00A04003" w:rsidRPr="00780AC4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0100DB" w:rsidRPr="00780AC4" w:rsidRDefault="000100DB" w:rsidP="005F5234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  <w:r w:rsidRPr="00780AC4">
        <w:rPr>
          <w:rFonts w:ascii="Times New Roman" w:eastAsia="Times New Roman" w:hAnsi="Times New Roman"/>
          <w:sz w:val="24"/>
          <w:szCs w:val="24"/>
        </w:rPr>
        <w:t xml:space="preserve">Beginning with Final </w:t>
      </w:r>
      <w:r w:rsidR="00BB6CFE">
        <w:rPr>
          <w:rFonts w:ascii="Times New Roman" w:eastAsia="Times New Roman" w:hAnsi="Times New Roman"/>
          <w:sz w:val="24"/>
          <w:szCs w:val="24"/>
        </w:rPr>
        <w:t>Calendar Year (“</w:t>
      </w:r>
      <w:r w:rsidRPr="00780AC4">
        <w:rPr>
          <w:rFonts w:ascii="Times New Roman" w:eastAsia="Times New Roman" w:hAnsi="Times New Roman"/>
          <w:sz w:val="24"/>
          <w:szCs w:val="24"/>
        </w:rPr>
        <w:t>CY</w:t>
      </w:r>
      <w:r w:rsidR="00BB6CFE">
        <w:rPr>
          <w:rFonts w:ascii="Times New Roman" w:eastAsia="Times New Roman" w:hAnsi="Times New Roman"/>
          <w:sz w:val="24"/>
          <w:szCs w:val="24"/>
        </w:rPr>
        <w:t>”)</w:t>
      </w:r>
      <w:r w:rsidRPr="00780AC4">
        <w:rPr>
          <w:rFonts w:ascii="Times New Roman" w:eastAsia="Times New Roman" w:hAnsi="Times New Roman"/>
          <w:sz w:val="24"/>
          <w:szCs w:val="24"/>
        </w:rPr>
        <w:t xml:space="preserve"> 2014 TME data reporting, payers shall submit TME by physician group and physician local practice group for Massachusetts </w:t>
      </w:r>
      <w:r w:rsidR="00A04003" w:rsidRPr="00780AC4">
        <w:rPr>
          <w:rFonts w:ascii="Times New Roman" w:eastAsia="Times New Roman" w:hAnsi="Times New Roman"/>
          <w:sz w:val="24"/>
          <w:szCs w:val="24"/>
        </w:rPr>
        <w:t>m</w:t>
      </w:r>
      <w:r w:rsidRPr="00780AC4">
        <w:rPr>
          <w:rFonts w:ascii="Times New Roman" w:eastAsia="Times New Roman" w:hAnsi="Times New Roman"/>
          <w:sz w:val="24"/>
          <w:szCs w:val="24"/>
        </w:rPr>
        <w:t>embers stratified by the following categories:</w:t>
      </w:r>
    </w:p>
    <w:p w:rsidR="00F80B03" w:rsidRPr="00780AC4" w:rsidRDefault="000100DB" w:rsidP="00284852">
      <w:pPr>
        <w:pStyle w:val="ListParagraph"/>
        <w:keepLines/>
        <w:numPr>
          <w:ilvl w:val="1"/>
          <w:numId w:val="10"/>
        </w:numPr>
        <w:rPr>
          <w:rFonts w:ascii="Times New Roman" w:eastAsia="Times New Roman" w:hAnsi="Times New Roman"/>
          <w:sz w:val="24"/>
          <w:szCs w:val="24"/>
        </w:rPr>
      </w:pPr>
      <w:r w:rsidRPr="00780AC4">
        <w:rPr>
          <w:rFonts w:ascii="Times New Roman" w:eastAsia="Times New Roman" w:hAnsi="Times New Roman"/>
          <w:sz w:val="24"/>
          <w:szCs w:val="24"/>
        </w:rPr>
        <w:t>Members required to select</w:t>
      </w:r>
      <w:r w:rsidR="002343DC" w:rsidRPr="00780AC4">
        <w:rPr>
          <w:rFonts w:ascii="Times New Roman" w:eastAsia="Times New Roman" w:hAnsi="Times New Roman"/>
          <w:sz w:val="24"/>
          <w:szCs w:val="24"/>
        </w:rPr>
        <w:t xml:space="preserve"> a </w:t>
      </w:r>
      <w:r w:rsidRPr="00780AC4">
        <w:rPr>
          <w:rFonts w:ascii="Times New Roman" w:eastAsia="Times New Roman" w:hAnsi="Times New Roman"/>
          <w:sz w:val="24"/>
          <w:szCs w:val="24"/>
        </w:rPr>
        <w:t xml:space="preserve">primary care provider (“PCP”) </w:t>
      </w:r>
      <w:r w:rsidR="002343DC" w:rsidRPr="00780AC4">
        <w:rPr>
          <w:rFonts w:ascii="Times New Roman" w:eastAsia="Times New Roman" w:hAnsi="Times New Roman"/>
          <w:sz w:val="24"/>
          <w:szCs w:val="24"/>
        </w:rPr>
        <w:t>by plan design</w:t>
      </w:r>
      <w:r w:rsidR="00562648" w:rsidRPr="00780AC4">
        <w:rPr>
          <w:rFonts w:ascii="Times New Roman" w:eastAsia="Times New Roman" w:hAnsi="Times New Roman"/>
          <w:sz w:val="24"/>
          <w:szCs w:val="24"/>
        </w:rPr>
        <w:t xml:space="preserve">, and </w:t>
      </w:r>
      <w:r w:rsidR="002343DC" w:rsidRPr="00780AC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80B03" w:rsidRPr="00780AC4" w:rsidRDefault="001518CD" w:rsidP="00284852">
      <w:pPr>
        <w:pStyle w:val="ListParagraph"/>
        <w:keepLines/>
        <w:numPr>
          <w:ilvl w:val="1"/>
          <w:numId w:val="10"/>
        </w:numPr>
        <w:rPr>
          <w:rFonts w:ascii="Times New Roman" w:eastAsia="Times New Roman" w:hAnsi="Times New Roman"/>
          <w:sz w:val="24"/>
          <w:szCs w:val="24"/>
        </w:rPr>
      </w:pPr>
      <w:r w:rsidRPr="00780AC4">
        <w:rPr>
          <w:rFonts w:ascii="Times New Roman" w:eastAsia="Times New Roman" w:hAnsi="Times New Roman"/>
          <w:sz w:val="24"/>
          <w:szCs w:val="24"/>
        </w:rPr>
        <w:t>Members</w:t>
      </w:r>
      <w:r w:rsidR="00504C00" w:rsidRPr="00780AC4">
        <w:rPr>
          <w:rFonts w:ascii="Times New Roman" w:eastAsia="Times New Roman" w:hAnsi="Times New Roman"/>
          <w:sz w:val="24"/>
          <w:szCs w:val="24"/>
        </w:rPr>
        <w:t xml:space="preserve"> </w:t>
      </w:r>
      <w:r w:rsidR="00562648" w:rsidRPr="00780AC4">
        <w:rPr>
          <w:rFonts w:ascii="Times New Roman" w:eastAsia="Times New Roman" w:hAnsi="Times New Roman"/>
          <w:sz w:val="24"/>
          <w:szCs w:val="24"/>
        </w:rPr>
        <w:t xml:space="preserve">not included in (a) that are </w:t>
      </w:r>
      <w:r w:rsidR="00504C00" w:rsidRPr="00780AC4">
        <w:rPr>
          <w:rFonts w:ascii="Times New Roman" w:eastAsia="Times New Roman" w:hAnsi="Times New Roman"/>
          <w:sz w:val="24"/>
          <w:szCs w:val="24"/>
        </w:rPr>
        <w:t>attributed to a primary care provider</w:t>
      </w:r>
      <w:r w:rsidR="002343DC" w:rsidRPr="00780AC4">
        <w:rPr>
          <w:rFonts w:ascii="Times New Roman" w:eastAsia="Times New Roman" w:hAnsi="Times New Roman"/>
          <w:sz w:val="24"/>
          <w:szCs w:val="24"/>
        </w:rPr>
        <w:t xml:space="preserve"> pursuant to a contract between the payer and provider</w:t>
      </w:r>
      <w:r w:rsidR="00565FE1" w:rsidRPr="00780AC4">
        <w:rPr>
          <w:rFonts w:ascii="Times New Roman" w:eastAsia="Times New Roman" w:hAnsi="Times New Roman"/>
          <w:sz w:val="24"/>
          <w:szCs w:val="24"/>
        </w:rPr>
        <w:t xml:space="preserve"> for financial or quality performance </w:t>
      </w:r>
    </w:p>
    <w:p w:rsidR="00A04003" w:rsidRPr="00780AC4" w:rsidRDefault="00A04003" w:rsidP="00A04003">
      <w:pPr>
        <w:pStyle w:val="ListParagraph"/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:rsidR="000100DB" w:rsidRPr="00780AC4" w:rsidRDefault="00A04003" w:rsidP="00E96EEE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  <w:r w:rsidRPr="00780AC4">
        <w:rPr>
          <w:rFonts w:ascii="Times New Roman" w:eastAsia="Times New Roman" w:hAnsi="Times New Roman"/>
          <w:sz w:val="24"/>
          <w:szCs w:val="24"/>
        </w:rPr>
        <w:t>P</w:t>
      </w:r>
      <w:r w:rsidR="000100DB" w:rsidRPr="00780AC4">
        <w:rPr>
          <w:rFonts w:ascii="Times New Roman" w:eastAsia="Times New Roman" w:hAnsi="Times New Roman"/>
          <w:sz w:val="24"/>
          <w:szCs w:val="24"/>
        </w:rPr>
        <w:t xml:space="preserve">ayers </w:t>
      </w:r>
      <w:r w:rsidRPr="00780AC4">
        <w:rPr>
          <w:rFonts w:ascii="Times New Roman" w:eastAsia="Times New Roman" w:hAnsi="Times New Roman"/>
          <w:sz w:val="24"/>
          <w:szCs w:val="24"/>
        </w:rPr>
        <w:t>shall otherwise report physician group data i</w:t>
      </w:r>
      <w:r w:rsidR="002343DC" w:rsidRPr="00780AC4">
        <w:rPr>
          <w:rFonts w:ascii="Times New Roman" w:eastAsia="Times New Roman" w:hAnsi="Times New Roman"/>
          <w:sz w:val="24"/>
          <w:szCs w:val="24"/>
        </w:rPr>
        <w:t>n accordance with 957 CMR 2.04</w:t>
      </w:r>
      <w:r w:rsidR="00B5504E">
        <w:rPr>
          <w:rFonts w:ascii="Times New Roman" w:eastAsia="Times New Roman" w:hAnsi="Times New Roman"/>
          <w:sz w:val="24"/>
          <w:szCs w:val="24"/>
        </w:rPr>
        <w:t xml:space="preserve"> (1)</w:t>
      </w:r>
      <w:r w:rsidR="002343DC" w:rsidRPr="00780AC4">
        <w:rPr>
          <w:rFonts w:ascii="Times New Roman" w:eastAsia="Times New Roman" w:hAnsi="Times New Roman"/>
          <w:sz w:val="24"/>
          <w:szCs w:val="24"/>
        </w:rPr>
        <w:t xml:space="preserve">, in addition to zip code data in accordance with 2.04(2). </w:t>
      </w:r>
    </w:p>
    <w:p w:rsidR="000100DB" w:rsidRPr="00780AC4" w:rsidRDefault="000100DB" w:rsidP="00E96EEE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:rsidR="00A04003" w:rsidRPr="00780AC4" w:rsidRDefault="002343DC" w:rsidP="002343DC">
      <w:pPr>
        <w:pStyle w:val="ListParagraph"/>
        <w:keepLines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780AC4">
        <w:rPr>
          <w:rFonts w:ascii="Times New Roman" w:eastAsia="Times New Roman" w:hAnsi="Times New Roman"/>
          <w:sz w:val="24"/>
          <w:szCs w:val="24"/>
          <w:u w:val="single"/>
        </w:rPr>
        <w:t>Alternative Payment Methods</w:t>
      </w:r>
    </w:p>
    <w:p w:rsidR="00A04003" w:rsidRPr="00780AC4" w:rsidRDefault="00A04003" w:rsidP="00A04003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  <w:r w:rsidRPr="00780AC4">
        <w:rPr>
          <w:rFonts w:ascii="Times New Roman" w:eastAsia="Times New Roman" w:hAnsi="Times New Roman"/>
          <w:sz w:val="24"/>
          <w:szCs w:val="24"/>
        </w:rPr>
        <w:t>Beginning with Final CY 2014 APM data reporting</w:t>
      </w:r>
      <w:r w:rsidR="005A1142">
        <w:rPr>
          <w:rFonts w:ascii="Times New Roman" w:eastAsia="Times New Roman" w:hAnsi="Times New Roman"/>
          <w:sz w:val="24"/>
          <w:szCs w:val="24"/>
        </w:rPr>
        <w:t>,</w:t>
      </w:r>
      <w:r w:rsidRPr="00780AC4">
        <w:rPr>
          <w:rFonts w:ascii="Times New Roman" w:eastAsia="Times New Roman" w:hAnsi="Times New Roman"/>
          <w:sz w:val="24"/>
          <w:szCs w:val="24"/>
        </w:rPr>
        <w:t xml:space="preserve"> payers shall submit APM data both for the prior calendar year, and for the calendar year ending 16 months prior. Payers shall apply incurred-but-not-reported (“IBNR”) factors to the data for the prior calendar year to estimate expense data after a full claims completion period. Payers shall otherwise report APM data in accordance with 957 CMR 2.06(2) </w:t>
      </w:r>
      <w:r w:rsidR="00B5504E">
        <w:rPr>
          <w:rFonts w:ascii="Times New Roman" w:eastAsia="Times New Roman" w:hAnsi="Times New Roman"/>
          <w:sz w:val="24"/>
          <w:szCs w:val="24"/>
        </w:rPr>
        <w:t>and (3)</w:t>
      </w:r>
      <w:r w:rsidRPr="00780AC4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65FE1" w:rsidRPr="00780AC4" w:rsidRDefault="00565FE1" w:rsidP="000F45AB">
      <w:pPr>
        <w:pStyle w:val="ListParagraph"/>
        <w:keepLines/>
        <w:spacing w:after="0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565FE1" w:rsidRPr="00780AC4" w:rsidRDefault="00565FE1" w:rsidP="00A04003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:rsidR="00565FE1" w:rsidRPr="00780AC4" w:rsidRDefault="00565FE1" w:rsidP="00A04003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:rsidR="00565FE1" w:rsidRPr="00780AC4" w:rsidRDefault="00565FE1" w:rsidP="00A04003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:rsidR="00565FE1" w:rsidRPr="00780AC4" w:rsidRDefault="00565FE1" w:rsidP="00A04003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:rsidR="00565FE1" w:rsidRPr="00780AC4" w:rsidRDefault="00565FE1" w:rsidP="00A04003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:rsidR="00A04003" w:rsidRPr="00780AC4" w:rsidRDefault="00565FE1" w:rsidP="00E80578">
      <w:pPr>
        <w:pStyle w:val="ListParagraph"/>
        <w:keepLines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780AC4">
        <w:rPr>
          <w:rFonts w:ascii="Times New Roman" w:eastAsia="Times New Roman" w:hAnsi="Times New Roman"/>
          <w:sz w:val="24"/>
          <w:szCs w:val="24"/>
          <w:u w:val="single"/>
        </w:rPr>
        <w:t xml:space="preserve">Data Submission Deadlines </w:t>
      </w:r>
    </w:p>
    <w:p w:rsidR="00565FE1" w:rsidRPr="00780AC4" w:rsidRDefault="00565FE1" w:rsidP="00565FE1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  <w:r w:rsidRPr="00780AC4">
        <w:rPr>
          <w:rFonts w:ascii="Times New Roman" w:eastAsia="Times New Roman" w:hAnsi="Times New Roman"/>
          <w:sz w:val="24"/>
          <w:szCs w:val="24"/>
        </w:rPr>
        <w:t xml:space="preserve">Data governed by 957 CMR 2:00 will be due according to the following </w:t>
      </w:r>
      <w:r w:rsidR="00780AC4">
        <w:rPr>
          <w:rFonts w:ascii="Times New Roman" w:eastAsia="Times New Roman" w:hAnsi="Times New Roman"/>
          <w:sz w:val="24"/>
          <w:szCs w:val="24"/>
        </w:rPr>
        <w:t xml:space="preserve">revised </w:t>
      </w:r>
      <w:r w:rsidRPr="00780AC4">
        <w:rPr>
          <w:rFonts w:ascii="Times New Roman" w:eastAsia="Times New Roman" w:hAnsi="Times New Roman"/>
          <w:sz w:val="24"/>
          <w:szCs w:val="24"/>
        </w:rPr>
        <w:t xml:space="preserve">deadlines: </w:t>
      </w:r>
    </w:p>
    <w:p w:rsidR="00565FE1" w:rsidRPr="00780AC4" w:rsidRDefault="00565FE1" w:rsidP="00565FE1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3600"/>
        <w:gridCol w:w="6210"/>
      </w:tblGrid>
      <w:tr w:rsidR="00565FE1" w:rsidRPr="00380FDA" w:rsidTr="00234AF0">
        <w:trPr>
          <w:trHeight w:val="282"/>
        </w:trPr>
        <w:tc>
          <w:tcPr>
            <w:tcW w:w="3600" w:type="dxa"/>
            <w:shd w:val="clear" w:color="auto" w:fill="4F81BD" w:themeFill="accent1"/>
          </w:tcPr>
          <w:p w:rsidR="00565FE1" w:rsidRPr="00780AC4" w:rsidRDefault="00565FE1" w:rsidP="00565FE1">
            <w:pPr>
              <w:keepLines/>
              <w:spacing w:after="0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</w:rPr>
              <w:t>Deadline</w:t>
            </w:r>
          </w:p>
        </w:tc>
        <w:tc>
          <w:tcPr>
            <w:tcW w:w="6210" w:type="dxa"/>
            <w:shd w:val="clear" w:color="auto" w:fill="4F81BD" w:themeFill="accent1"/>
          </w:tcPr>
          <w:p w:rsidR="00565FE1" w:rsidRPr="00780AC4" w:rsidRDefault="00565FE1" w:rsidP="00565FE1">
            <w:pPr>
              <w:keepLines/>
              <w:spacing w:after="0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</w:rPr>
              <w:t>Data File Due</w:t>
            </w:r>
          </w:p>
        </w:tc>
      </w:tr>
      <w:tr w:rsidR="00565FE1" w:rsidRPr="00380FDA" w:rsidTr="00234AF0">
        <w:trPr>
          <w:trHeight w:val="551"/>
        </w:trPr>
        <w:tc>
          <w:tcPr>
            <w:tcW w:w="3600" w:type="dxa"/>
            <w:vAlign w:val="center"/>
          </w:tcPr>
          <w:p w:rsidR="00565FE1" w:rsidRPr="00780AC4" w:rsidRDefault="00234AF0" w:rsidP="00565FE1">
            <w:pPr>
              <w:keepLine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>Monday, May 2</w:t>
            </w:r>
            <w:r w:rsidR="00565FE1" w:rsidRPr="00780AC4">
              <w:rPr>
                <w:rFonts w:ascii="Times New Roman" w:eastAsia="Times New Roman" w:hAnsi="Times New Roman"/>
                <w:sz w:val="24"/>
                <w:szCs w:val="24"/>
              </w:rPr>
              <w:t>, 2016</w:t>
            </w:r>
          </w:p>
        </w:tc>
        <w:tc>
          <w:tcPr>
            <w:tcW w:w="6210" w:type="dxa"/>
            <w:vAlign w:val="center"/>
          </w:tcPr>
          <w:p w:rsidR="00234AF0" w:rsidRPr="00780AC4" w:rsidRDefault="00234AF0" w:rsidP="00B5189A">
            <w:pPr>
              <w:keepLines/>
              <w:spacing w:after="0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B5189A" w:rsidRPr="00780AC4" w:rsidRDefault="00234AF0" w:rsidP="00B5189A">
            <w:pPr>
              <w:keepLines/>
              <w:spacing w:after="0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780AC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Zip-Code Level</w:t>
            </w:r>
          </w:p>
          <w:p w:rsidR="00565FE1" w:rsidRPr="00780AC4" w:rsidRDefault="00565FE1" w:rsidP="00565FE1">
            <w:pPr>
              <w:keepLines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>CY 2014 Final TME</w:t>
            </w:r>
          </w:p>
          <w:p w:rsidR="00565FE1" w:rsidRPr="00780AC4" w:rsidRDefault="00565FE1" w:rsidP="00565FE1">
            <w:pPr>
              <w:keepLines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>CY 2015 Preliminary TME (+ IBNR</w:t>
            </w:r>
            <w:r w:rsidR="001518CD" w:rsidRPr="00780AC4">
              <w:rPr>
                <w:rFonts w:ascii="Times New Roman" w:eastAsia="Times New Roman" w:hAnsi="Times New Roman"/>
                <w:sz w:val="24"/>
                <w:szCs w:val="24"/>
              </w:rPr>
              <w:t xml:space="preserve"> factors</w:t>
            </w: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B5189A" w:rsidRPr="00780AC4" w:rsidRDefault="00B5189A" w:rsidP="00B5189A">
            <w:pPr>
              <w:keepLines/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4AF0" w:rsidRPr="00380FDA" w:rsidTr="00234AF0">
        <w:trPr>
          <w:trHeight w:val="551"/>
        </w:trPr>
        <w:tc>
          <w:tcPr>
            <w:tcW w:w="3600" w:type="dxa"/>
            <w:vAlign w:val="center"/>
          </w:tcPr>
          <w:p w:rsidR="00234AF0" w:rsidRPr="00780AC4" w:rsidRDefault="00234AF0" w:rsidP="00AA5AB9">
            <w:pPr>
              <w:keepLine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>Monday, May 16, 2016</w:t>
            </w:r>
          </w:p>
        </w:tc>
        <w:tc>
          <w:tcPr>
            <w:tcW w:w="6210" w:type="dxa"/>
            <w:vAlign w:val="center"/>
          </w:tcPr>
          <w:p w:rsidR="00234AF0" w:rsidRPr="00780AC4" w:rsidRDefault="00234AF0" w:rsidP="00234AF0">
            <w:pPr>
              <w:keepLines/>
              <w:spacing w:after="0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234AF0" w:rsidRPr="00780AC4" w:rsidRDefault="00234AF0" w:rsidP="00234AF0">
            <w:pPr>
              <w:keepLines/>
              <w:spacing w:after="0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780AC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Physician Group Level</w:t>
            </w:r>
          </w:p>
          <w:p w:rsidR="00234AF0" w:rsidRPr="00780AC4" w:rsidRDefault="00234AF0" w:rsidP="00AA5AB9">
            <w:pPr>
              <w:keepLines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>CY 2014 Final TME</w:t>
            </w:r>
          </w:p>
          <w:p w:rsidR="00234AF0" w:rsidRPr="00780AC4" w:rsidRDefault="00234AF0" w:rsidP="00AA5AB9">
            <w:pPr>
              <w:keepLines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>CY 2015 Preliminary TME (+ IBNR)</w:t>
            </w:r>
          </w:p>
          <w:p w:rsidR="00234AF0" w:rsidRPr="00780AC4" w:rsidRDefault="00234AF0" w:rsidP="00AA5AB9">
            <w:pPr>
              <w:keepLines/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5FE1" w:rsidRPr="00380FDA" w:rsidTr="00234AF0">
        <w:trPr>
          <w:trHeight w:val="266"/>
        </w:trPr>
        <w:tc>
          <w:tcPr>
            <w:tcW w:w="3600" w:type="dxa"/>
            <w:vAlign w:val="center"/>
          </w:tcPr>
          <w:p w:rsidR="00565FE1" w:rsidRPr="00780AC4" w:rsidRDefault="00565FE1" w:rsidP="00565FE1">
            <w:pPr>
              <w:keepLine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>Wednesday, June 1, 2016</w:t>
            </w:r>
          </w:p>
        </w:tc>
        <w:tc>
          <w:tcPr>
            <w:tcW w:w="6210" w:type="dxa"/>
            <w:vAlign w:val="bottom"/>
          </w:tcPr>
          <w:p w:rsidR="00B5189A" w:rsidRPr="00780AC4" w:rsidRDefault="00B5189A" w:rsidP="00B5189A">
            <w:pPr>
              <w:pStyle w:val="ListParagraph"/>
              <w:keepLine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FE1" w:rsidRPr="00780AC4" w:rsidRDefault="00565FE1" w:rsidP="00565FE1">
            <w:pPr>
              <w:pStyle w:val="ListParagraph"/>
              <w:keepLines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>CY 2015 Preliminary APM (+ IBNR)</w:t>
            </w:r>
          </w:p>
          <w:p w:rsidR="00565FE1" w:rsidRPr="00780AC4" w:rsidRDefault="00565FE1" w:rsidP="00565FE1">
            <w:pPr>
              <w:keepLines/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5FE1" w:rsidRPr="00380FDA" w:rsidTr="00234AF0">
        <w:trPr>
          <w:trHeight w:val="537"/>
        </w:trPr>
        <w:tc>
          <w:tcPr>
            <w:tcW w:w="3600" w:type="dxa"/>
            <w:vAlign w:val="center"/>
          </w:tcPr>
          <w:p w:rsidR="00565FE1" w:rsidRPr="00780AC4" w:rsidRDefault="00565FE1" w:rsidP="00565FE1">
            <w:pPr>
              <w:keepLine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>Wednesday, June 15, 2016</w:t>
            </w:r>
          </w:p>
        </w:tc>
        <w:tc>
          <w:tcPr>
            <w:tcW w:w="6210" w:type="dxa"/>
            <w:vAlign w:val="center"/>
          </w:tcPr>
          <w:p w:rsidR="00B5189A" w:rsidRPr="00780AC4" w:rsidRDefault="00B5189A" w:rsidP="00B5189A">
            <w:pPr>
              <w:keepLines/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FE1" w:rsidRPr="00780AC4" w:rsidRDefault="00565FE1" w:rsidP="00565FE1">
            <w:pPr>
              <w:keepLines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 xml:space="preserve">CY 2014 Final APM </w:t>
            </w:r>
          </w:p>
          <w:p w:rsidR="00565FE1" w:rsidRPr="00780AC4" w:rsidRDefault="00565FE1" w:rsidP="00565FE1">
            <w:pPr>
              <w:keepLines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>CY 2015 Supplemental APM</w:t>
            </w:r>
          </w:p>
          <w:p w:rsidR="00B5189A" w:rsidRPr="00780AC4" w:rsidRDefault="00B5189A" w:rsidP="00B5189A">
            <w:pPr>
              <w:keepLines/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5FE1" w:rsidRPr="00380FDA" w:rsidTr="00234AF0">
        <w:trPr>
          <w:trHeight w:val="537"/>
        </w:trPr>
        <w:tc>
          <w:tcPr>
            <w:tcW w:w="3600" w:type="dxa"/>
            <w:vAlign w:val="center"/>
          </w:tcPr>
          <w:p w:rsidR="00565FE1" w:rsidRPr="00780AC4" w:rsidRDefault="00565FE1" w:rsidP="00234AF0">
            <w:pPr>
              <w:keepLine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>Friday, July 1, 2016</w:t>
            </w:r>
          </w:p>
        </w:tc>
        <w:tc>
          <w:tcPr>
            <w:tcW w:w="6210" w:type="dxa"/>
            <w:vAlign w:val="center"/>
          </w:tcPr>
          <w:p w:rsidR="00B5189A" w:rsidRPr="00780AC4" w:rsidRDefault="00B5189A" w:rsidP="00B5189A">
            <w:pPr>
              <w:keepLines/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FE1" w:rsidRPr="00780AC4" w:rsidRDefault="00565FE1" w:rsidP="00565FE1">
            <w:pPr>
              <w:keepLines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 xml:space="preserve">CY 2014 Physician Group </w:t>
            </w:r>
            <w:r w:rsidR="00BB6CFE">
              <w:rPr>
                <w:rFonts w:ascii="Times New Roman" w:eastAsia="Times New Roman" w:hAnsi="Times New Roman"/>
                <w:sz w:val="24"/>
                <w:szCs w:val="24"/>
              </w:rPr>
              <w:t>Relative Price</w:t>
            </w:r>
            <w:r w:rsidR="001F62A6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BB6CFE">
              <w:rPr>
                <w:rFonts w:ascii="Times New Roman" w:eastAsia="Times New Roman" w:hAnsi="Times New Roman"/>
                <w:sz w:val="24"/>
                <w:szCs w:val="24"/>
              </w:rPr>
              <w:t xml:space="preserve"> (“</w:t>
            </w: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>RP</w:t>
            </w:r>
            <w:r w:rsidR="00BB6CFE">
              <w:rPr>
                <w:rFonts w:ascii="Times New Roman" w:eastAsia="Times New Roman" w:hAnsi="Times New Roman"/>
                <w:sz w:val="24"/>
                <w:szCs w:val="24"/>
              </w:rPr>
              <w:t>”)</w:t>
            </w: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65FE1" w:rsidRPr="00780AC4" w:rsidRDefault="00565FE1" w:rsidP="00565FE1">
            <w:pPr>
              <w:keepLines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AC4">
              <w:rPr>
                <w:rFonts w:ascii="Times New Roman" w:eastAsia="Times New Roman" w:hAnsi="Times New Roman"/>
                <w:sz w:val="24"/>
                <w:szCs w:val="24"/>
              </w:rPr>
              <w:t>CY 2015 Hospital and Other Provider RP</w:t>
            </w:r>
          </w:p>
          <w:p w:rsidR="00B5189A" w:rsidRPr="00780AC4" w:rsidRDefault="00B5189A" w:rsidP="00B5189A">
            <w:pPr>
              <w:keepLines/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9192C" w:rsidRPr="00284852" w:rsidRDefault="00A9192C" w:rsidP="00E80578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sectPr w:rsidR="00A9192C" w:rsidRPr="00284852" w:rsidSect="00DA540F">
      <w:footerReference w:type="default" r:id="rId9"/>
      <w:headerReference w:type="first" r:id="rId10"/>
      <w:footerReference w:type="first" r:id="rId11"/>
      <w:pgSz w:w="12240" w:h="15840"/>
      <w:pgMar w:top="1440" w:right="1440" w:bottom="1714" w:left="1440" w:header="25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6A" w:rsidRDefault="00EA1E6A">
      <w:r>
        <w:separator/>
      </w:r>
    </w:p>
  </w:endnote>
  <w:endnote w:type="continuationSeparator" w:id="0">
    <w:p w:rsidR="00EA1E6A" w:rsidRDefault="00EA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933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0578" w:rsidRDefault="00E805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D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0578" w:rsidRDefault="00E80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78" w:rsidRPr="001D5DE2" w:rsidRDefault="00E96EEE" w:rsidP="008A6188">
    <w:pPr>
      <w:pStyle w:val="Footer"/>
      <w:jc w:val="center"/>
      <w:rPr>
        <w:rFonts w:ascii="Arial Bold" w:hAnsi="Arial Bold"/>
        <w:color w:val="00436E"/>
        <w:sz w:val="14"/>
        <w:szCs w:val="14"/>
      </w:rPr>
    </w:pPr>
    <w:r w:rsidRPr="00E96EEE">
      <w:rPr>
        <w:rFonts w:ascii="Times New Roman" w:eastAsia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7BC630" wp14:editId="7B6EFCA5">
              <wp:simplePos x="0" y="0"/>
              <wp:positionH relativeFrom="column">
                <wp:posOffset>4613188</wp:posOffset>
              </wp:positionH>
              <wp:positionV relativeFrom="paragraph">
                <wp:posOffset>-407327</wp:posOffset>
              </wp:positionV>
              <wp:extent cx="2225349" cy="133489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349" cy="1334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6EEE" w:rsidRDefault="001961C2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501</w:t>
                          </w:r>
                          <w:r w:rsidR="00E96EEE"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 xml:space="preserve"> BOYLSTON STREET</w:t>
                          </w:r>
                          <w:r w:rsidR="00E96EEE" w:rsidRPr="001B010B">
                            <w:rPr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="00E96EEE"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:rsidR="00E96EEE" w:rsidRPr="001B010B" w:rsidRDefault="00E96EEE" w:rsidP="00E96EEE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</w:t>
                          </w:r>
                          <w:r w:rsidR="001961C2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701.8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100</w:t>
                          </w:r>
                        </w:p>
                        <w:p w:rsidR="00E96EEE" w:rsidRPr="001B010B" w:rsidRDefault="00E96EEE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</w:p>
                        <w:p w:rsidR="00380FDA" w:rsidRPr="00380FDA" w:rsidRDefault="00380FDA" w:rsidP="00380FDA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0" w:line="240" w:lineRule="auto"/>
                            <w:jc w:val="right"/>
                            <w:rPr>
                              <w:rFonts w:ascii="Arial Bold" w:eastAsia="Times New Roman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380FDA">
                            <w:rPr>
                              <w:rFonts w:ascii="Arial Bold" w:eastAsia="Times New Roman" w:hAnsi="Arial Bold"/>
                              <w:color w:val="00436E"/>
                              <w:sz w:val="14"/>
                              <w:szCs w:val="14"/>
                            </w:rPr>
                            <w:t>www.chiamass.gov</w:t>
                          </w:r>
                        </w:p>
                        <w:p w:rsidR="00E96EEE" w:rsidRPr="001D5DE2" w:rsidRDefault="00E96EEE" w:rsidP="00E96EEE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</w:p>
                        <w:p w:rsidR="00E96EEE" w:rsidRDefault="00E96EEE" w:rsidP="00E96EE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3.25pt;margin-top:-32.05pt;width:175.2pt;height:10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" stroked="f">
              <v:textbox>
                <w:txbxContent>
                  <w:p w:rsidR="00E96EEE" w:rsidRDefault="001961C2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501</w:t>
                    </w:r>
                    <w:r w:rsidR="00E96EEE"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 xml:space="preserve"> BOYLSTON STREET</w:t>
                    </w:r>
                    <w:r w:rsidR="00E96EEE" w:rsidRPr="001B010B">
                      <w:rPr>
                        <w:color w:val="808080"/>
                        <w:sz w:val="14"/>
                        <w:szCs w:val="14"/>
                      </w:rPr>
                      <w:br/>
                    </w:r>
                    <w:r w:rsidR="00E96EEE"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:rsidR="00E96EEE" w:rsidRPr="001B010B" w:rsidRDefault="00E96EEE" w:rsidP="00E96EEE">
                    <w:pPr>
                      <w:pStyle w:val="Footer"/>
                      <w:spacing w:after="0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</w:t>
                    </w:r>
                    <w:r w:rsidR="001961C2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701.8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100</w:t>
                    </w:r>
                    <w:proofErr w:type="gramEnd"/>
                  </w:p>
                  <w:p w:rsidR="00E96EEE" w:rsidRPr="001B010B" w:rsidRDefault="00E96EEE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  <w:proofErr w:type="gramEnd"/>
                  </w:p>
                  <w:p w:rsidR="00380FDA" w:rsidRPr="00380FDA" w:rsidRDefault="00380FDA" w:rsidP="00380FDA">
                    <w:pPr>
                      <w:tabs>
                        <w:tab w:val="center" w:pos="4320"/>
                        <w:tab w:val="right" w:pos="8640"/>
                      </w:tabs>
                      <w:spacing w:after="0" w:line="240" w:lineRule="auto"/>
                      <w:jc w:val="right"/>
                      <w:rPr>
                        <w:rFonts w:ascii="Arial Bold" w:eastAsia="Times New Roman" w:hAnsi="Arial Bold"/>
                        <w:color w:val="00436E"/>
                        <w:sz w:val="14"/>
                        <w:szCs w:val="14"/>
                      </w:rPr>
                    </w:pPr>
                    <w:r w:rsidRPr="00380FDA">
                      <w:rPr>
                        <w:rFonts w:ascii="Arial Bold" w:eastAsia="Times New Roman" w:hAnsi="Arial Bold"/>
                        <w:color w:val="00436E"/>
                        <w:sz w:val="14"/>
                        <w:szCs w:val="14"/>
                      </w:rPr>
                      <w:t>www.chiamass.gov</w:t>
                    </w:r>
                  </w:p>
                  <w:p w:rsidR="00E96EEE" w:rsidRPr="001D5DE2" w:rsidRDefault="00E96EEE" w:rsidP="00E96EEE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</w:p>
                  <w:p w:rsidR="00E96EEE" w:rsidRDefault="00E96EEE" w:rsidP="00E96EEE"/>
                </w:txbxContent>
              </v:textbox>
            </v:shape>
          </w:pict>
        </mc:Fallback>
      </mc:AlternateContent>
    </w:r>
  </w:p>
  <w:p w:rsidR="00E80578" w:rsidRPr="001D5DE2" w:rsidRDefault="00E80578">
    <w:pPr>
      <w:pStyle w:val="Footer"/>
      <w:rPr>
        <w:rFonts w:ascii="Arial Bold" w:hAnsi="Arial Bold"/>
        <w:color w:val="00436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6A" w:rsidRDefault="00EA1E6A">
      <w:r>
        <w:separator/>
      </w:r>
    </w:p>
  </w:footnote>
  <w:footnote w:type="continuationSeparator" w:id="0">
    <w:p w:rsidR="00EA1E6A" w:rsidRDefault="00EA1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78" w:rsidRDefault="00E80578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7B03E8E" wp14:editId="7F5CA579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3" name="Picture 1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DDC"/>
    <w:multiLevelType w:val="hybridMultilevel"/>
    <w:tmpl w:val="046A8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81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4753AA"/>
    <w:multiLevelType w:val="hybridMultilevel"/>
    <w:tmpl w:val="D190F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127E7D"/>
    <w:multiLevelType w:val="hybridMultilevel"/>
    <w:tmpl w:val="C992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A02D9"/>
    <w:multiLevelType w:val="hybridMultilevel"/>
    <w:tmpl w:val="6E644C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5C46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7E3B4C"/>
    <w:multiLevelType w:val="hybridMultilevel"/>
    <w:tmpl w:val="3496F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E91699"/>
    <w:multiLevelType w:val="hybridMultilevel"/>
    <w:tmpl w:val="583A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D41A4"/>
    <w:multiLevelType w:val="hybridMultilevel"/>
    <w:tmpl w:val="EEA8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64EF6"/>
    <w:multiLevelType w:val="hybridMultilevel"/>
    <w:tmpl w:val="1178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02080"/>
    <w:multiLevelType w:val="hybridMultilevel"/>
    <w:tmpl w:val="0A723478"/>
    <w:lvl w:ilvl="0" w:tplc="5448D7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680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6176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CE4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8B9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3CDD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ECB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AC7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EC5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8A04E5"/>
    <w:multiLevelType w:val="hybridMultilevel"/>
    <w:tmpl w:val="4A7AC0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EE"/>
    <w:rsid w:val="000067EA"/>
    <w:rsid w:val="000100DB"/>
    <w:rsid w:val="00065503"/>
    <w:rsid w:val="000675E6"/>
    <w:rsid w:val="000A4D15"/>
    <w:rsid w:val="000F45AB"/>
    <w:rsid w:val="00105401"/>
    <w:rsid w:val="001518CD"/>
    <w:rsid w:val="0018083D"/>
    <w:rsid w:val="001961C2"/>
    <w:rsid w:val="001D5DE2"/>
    <w:rsid w:val="001D69FE"/>
    <w:rsid w:val="001D7563"/>
    <w:rsid w:val="001E4C6A"/>
    <w:rsid w:val="001F1BD1"/>
    <w:rsid w:val="001F62A6"/>
    <w:rsid w:val="00201FB2"/>
    <w:rsid w:val="0023027F"/>
    <w:rsid w:val="002343DC"/>
    <w:rsid w:val="00234AF0"/>
    <w:rsid w:val="00272058"/>
    <w:rsid w:val="00284852"/>
    <w:rsid w:val="00286F87"/>
    <w:rsid w:val="00294A6D"/>
    <w:rsid w:val="002A7FFD"/>
    <w:rsid w:val="002D1CD9"/>
    <w:rsid w:val="00304DD6"/>
    <w:rsid w:val="00322179"/>
    <w:rsid w:val="00333335"/>
    <w:rsid w:val="00380FDA"/>
    <w:rsid w:val="00387EDA"/>
    <w:rsid w:val="00391274"/>
    <w:rsid w:val="003A2A03"/>
    <w:rsid w:val="003A670F"/>
    <w:rsid w:val="003B1B0E"/>
    <w:rsid w:val="003C2934"/>
    <w:rsid w:val="003F1358"/>
    <w:rsid w:val="004306E1"/>
    <w:rsid w:val="004949BE"/>
    <w:rsid w:val="004A1213"/>
    <w:rsid w:val="004B5A47"/>
    <w:rsid w:val="004D3986"/>
    <w:rsid w:val="004D6193"/>
    <w:rsid w:val="004F6614"/>
    <w:rsid w:val="00504C00"/>
    <w:rsid w:val="00516718"/>
    <w:rsid w:val="00524B06"/>
    <w:rsid w:val="0055300B"/>
    <w:rsid w:val="00555AB5"/>
    <w:rsid w:val="00562648"/>
    <w:rsid w:val="00563507"/>
    <w:rsid w:val="00565FE1"/>
    <w:rsid w:val="005A1142"/>
    <w:rsid w:val="005A4459"/>
    <w:rsid w:val="005C02EC"/>
    <w:rsid w:val="005F5234"/>
    <w:rsid w:val="00614125"/>
    <w:rsid w:val="006213C5"/>
    <w:rsid w:val="00636CD8"/>
    <w:rsid w:val="00687A69"/>
    <w:rsid w:val="006A02A5"/>
    <w:rsid w:val="006A1FEA"/>
    <w:rsid w:val="006A709E"/>
    <w:rsid w:val="006D2B91"/>
    <w:rsid w:val="006E1F3E"/>
    <w:rsid w:val="0070368F"/>
    <w:rsid w:val="00720073"/>
    <w:rsid w:val="0073636C"/>
    <w:rsid w:val="00740662"/>
    <w:rsid w:val="00753DD4"/>
    <w:rsid w:val="00775CED"/>
    <w:rsid w:val="00780AC4"/>
    <w:rsid w:val="007B02CF"/>
    <w:rsid w:val="007F76A7"/>
    <w:rsid w:val="007F7DED"/>
    <w:rsid w:val="00881C18"/>
    <w:rsid w:val="00890BAB"/>
    <w:rsid w:val="00891D16"/>
    <w:rsid w:val="008A6188"/>
    <w:rsid w:val="008B7E9F"/>
    <w:rsid w:val="008C4192"/>
    <w:rsid w:val="008E16AC"/>
    <w:rsid w:val="008F7FC5"/>
    <w:rsid w:val="009213F3"/>
    <w:rsid w:val="00925555"/>
    <w:rsid w:val="009723E3"/>
    <w:rsid w:val="00977F5D"/>
    <w:rsid w:val="009B11C9"/>
    <w:rsid w:val="009C12CE"/>
    <w:rsid w:val="00A01ED0"/>
    <w:rsid w:val="00A04003"/>
    <w:rsid w:val="00A50F97"/>
    <w:rsid w:val="00A55D66"/>
    <w:rsid w:val="00A85843"/>
    <w:rsid w:val="00A8675C"/>
    <w:rsid w:val="00A9192C"/>
    <w:rsid w:val="00AA7D23"/>
    <w:rsid w:val="00AD6EE2"/>
    <w:rsid w:val="00AE4C58"/>
    <w:rsid w:val="00B16FC6"/>
    <w:rsid w:val="00B2064C"/>
    <w:rsid w:val="00B43C58"/>
    <w:rsid w:val="00B5189A"/>
    <w:rsid w:val="00B5296A"/>
    <w:rsid w:val="00B5504E"/>
    <w:rsid w:val="00B67E72"/>
    <w:rsid w:val="00B73BDE"/>
    <w:rsid w:val="00B86C49"/>
    <w:rsid w:val="00BA28F0"/>
    <w:rsid w:val="00BB5BE4"/>
    <w:rsid w:val="00BB6CFE"/>
    <w:rsid w:val="00C055F8"/>
    <w:rsid w:val="00C36F0A"/>
    <w:rsid w:val="00C45E7B"/>
    <w:rsid w:val="00C57938"/>
    <w:rsid w:val="00C903EC"/>
    <w:rsid w:val="00C91FFA"/>
    <w:rsid w:val="00CA5F20"/>
    <w:rsid w:val="00CF7B7D"/>
    <w:rsid w:val="00D0583D"/>
    <w:rsid w:val="00D20A6C"/>
    <w:rsid w:val="00D60349"/>
    <w:rsid w:val="00DA540F"/>
    <w:rsid w:val="00DB2575"/>
    <w:rsid w:val="00DE5AEE"/>
    <w:rsid w:val="00E03D38"/>
    <w:rsid w:val="00E36470"/>
    <w:rsid w:val="00E80578"/>
    <w:rsid w:val="00E94FEB"/>
    <w:rsid w:val="00E96EEE"/>
    <w:rsid w:val="00EA0927"/>
    <w:rsid w:val="00EA1E6A"/>
    <w:rsid w:val="00EF7E0A"/>
    <w:rsid w:val="00F80B03"/>
    <w:rsid w:val="00F86A64"/>
    <w:rsid w:val="00FA5627"/>
    <w:rsid w:val="00FC528D"/>
    <w:rsid w:val="00FE2726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7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058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02C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6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6A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565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7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058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02C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6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6A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565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297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66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61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DF6E-9051-42CE-99F6-7BEB0C3E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Links>
    <vt:vector size="6" baseType="variant">
      <vt:variant>
        <vt:i4>655461</vt:i4>
      </vt:variant>
      <vt:variant>
        <vt:i4>-1</vt:i4>
      </vt:variant>
      <vt:variant>
        <vt:i4>2049</vt:i4>
      </vt:variant>
      <vt:variant>
        <vt:i4>1</vt:i4>
      </vt:variant>
      <vt:variant>
        <vt:lpwstr>signatureLOGO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Caitlin</dc:creator>
  <cp:lastModifiedBy>Wil B</cp:lastModifiedBy>
  <cp:revision>2</cp:revision>
  <cp:lastPrinted>2016-03-10T15:44:00Z</cp:lastPrinted>
  <dcterms:created xsi:type="dcterms:W3CDTF">2016-03-10T20:27:00Z</dcterms:created>
  <dcterms:modified xsi:type="dcterms:W3CDTF">2016-03-10T20:27:00Z</dcterms:modified>
</cp:coreProperties>
</file>