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6" w:rsidRPr="00C658B1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658B1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 w:rsidR="00380FDA" w:rsidRPr="00C658B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37BD8" w:rsidRPr="00C658B1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925555" w:rsidRPr="00C658B1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7165C8" w:rsidRPr="00C658B1">
        <w:rPr>
          <w:rFonts w:ascii="Times New Roman" w:eastAsia="Times New Roman" w:hAnsi="Times New Roman"/>
          <w:b/>
          <w:bCs/>
          <w:sz w:val="24"/>
          <w:szCs w:val="24"/>
        </w:rPr>
        <w:t>04</w:t>
      </w:r>
    </w:p>
    <w:p w:rsidR="006F7052" w:rsidRDefault="006F7052" w:rsidP="006F7052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658B1">
        <w:rPr>
          <w:rFonts w:ascii="Times New Roman" w:eastAsia="Times New Roman" w:hAnsi="Times New Roman"/>
          <w:b/>
          <w:bCs/>
          <w:sz w:val="24"/>
          <w:szCs w:val="24"/>
        </w:rPr>
        <w:t>957 CMR 8.00: All Payer Claims Database</w:t>
      </w:r>
      <w:r w:rsidR="003B0970" w:rsidRPr="00C658B1">
        <w:rPr>
          <w:rFonts w:ascii="Times New Roman" w:eastAsia="Times New Roman" w:hAnsi="Times New Roman"/>
          <w:b/>
          <w:bCs/>
          <w:sz w:val="24"/>
          <w:szCs w:val="24"/>
        </w:rPr>
        <w:t xml:space="preserve"> (APCD) </w:t>
      </w:r>
      <w:r w:rsidRPr="00C658B1">
        <w:rPr>
          <w:rFonts w:ascii="Times New Roman" w:eastAsia="Times New Roman" w:hAnsi="Times New Roman"/>
          <w:b/>
          <w:bCs/>
          <w:sz w:val="24"/>
          <w:szCs w:val="24"/>
        </w:rPr>
        <w:t>and Case Mix and Charge Data Submission</w:t>
      </w:r>
    </w:p>
    <w:p w:rsidR="00246E87" w:rsidRPr="00C658B1" w:rsidRDefault="00246E87" w:rsidP="006F7052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5D66" w:rsidRPr="00C658B1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58B1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="00C658B1" w:rsidRPr="00C658B1">
        <w:rPr>
          <w:rFonts w:ascii="Times New Roman" w:eastAsia="Times New Roman" w:hAnsi="Times New Roman"/>
          <w:b/>
          <w:sz w:val="24"/>
          <w:szCs w:val="24"/>
        </w:rPr>
        <w:t>August</w:t>
      </w:r>
      <w:r w:rsidR="004415B6" w:rsidRPr="00C658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742A8" w:rsidRPr="005742A8">
        <w:rPr>
          <w:rFonts w:ascii="Times New Roman" w:eastAsia="Times New Roman" w:hAnsi="Times New Roman"/>
          <w:b/>
          <w:sz w:val="24"/>
          <w:szCs w:val="24"/>
        </w:rPr>
        <w:t>15</w:t>
      </w:r>
      <w:r w:rsidR="00E80578" w:rsidRPr="00C658B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D37BD8" w:rsidRPr="00C658B1">
        <w:rPr>
          <w:rFonts w:ascii="Times New Roman" w:eastAsia="Times New Roman" w:hAnsi="Times New Roman"/>
          <w:b/>
          <w:sz w:val="24"/>
          <w:szCs w:val="24"/>
        </w:rPr>
        <w:t>2017</w:t>
      </w:r>
    </w:p>
    <w:p w:rsidR="00A55D66" w:rsidRDefault="0094225A" w:rsidP="00D37BD8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58B1">
        <w:rPr>
          <w:rFonts w:ascii="Times New Roman" w:eastAsia="Times New Roman" w:hAnsi="Times New Roman"/>
          <w:b/>
          <w:sz w:val="24"/>
          <w:szCs w:val="24"/>
        </w:rPr>
        <w:t>Case Mix Data from Behavioral Health Facilities</w:t>
      </w:r>
    </w:p>
    <w:p w:rsidR="00246E87" w:rsidRPr="00C658B1" w:rsidRDefault="00246E87" w:rsidP="00D37BD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80578" w:rsidRPr="00F9779F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12333" w:rsidRDefault="00395F6B" w:rsidP="00912333">
      <w:pPr>
        <w:rPr>
          <w:rFonts w:ascii="Times New Roman" w:eastAsia="Times New Roman" w:hAnsi="Times New Roman"/>
          <w:sz w:val="24"/>
          <w:szCs w:val="24"/>
        </w:rPr>
      </w:pPr>
      <w:r w:rsidRPr="005A16DC">
        <w:rPr>
          <w:rFonts w:ascii="Times New Roman" w:eastAsia="Times New Roman" w:hAnsi="Times New Roman"/>
          <w:sz w:val="24"/>
          <w:szCs w:val="24"/>
        </w:rPr>
        <w:t xml:space="preserve">The Center for Health Information and Analysis (“CHIA”) is issuing this Administrative Bulletin pursuant to 957 CMR 8.07(1) to notify </w:t>
      </w:r>
      <w:r w:rsidR="00A23D39" w:rsidRPr="005A16DC">
        <w:rPr>
          <w:rFonts w:ascii="Times New Roman" w:eastAsia="Times New Roman" w:hAnsi="Times New Roman"/>
          <w:sz w:val="24"/>
          <w:szCs w:val="24"/>
        </w:rPr>
        <w:t xml:space="preserve">non-acute psychiatric hospitals and psychiatric facilities </w:t>
      </w:r>
      <w:r w:rsidR="00A427CE">
        <w:rPr>
          <w:rFonts w:ascii="Times New Roman" w:eastAsia="Times New Roman" w:hAnsi="Times New Roman"/>
          <w:sz w:val="24"/>
          <w:szCs w:val="24"/>
        </w:rPr>
        <w:t xml:space="preserve">controlled </w:t>
      </w:r>
      <w:r w:rsidR="00A23D39" w:rsidRPr="005A16DC">
        <w:rPr>
          <w:rFonts w:ascii="Times New Roman" w:eastAsia="Times New Roman" w:hAnsi="Times New Roman"/>
          <w:sz w:val="24"/>
          <w:szCs w:val="24"/>
        </w:rPr>
        <w:t xml:space="preserve">by 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 xml:space="preserve">the </w:t>
      </w:r>
      <w:r w:rsidR="00A23D39" w:rsidRPr="005A16DC">
        <w:rPr>
          <w:rFonts w:ascii="Times New Roman" w:eastAsia="Times New Roman" w:hAnsi="Times New Roman"/>
          <w:sz w:val="24"/>
          <w:szCs w:val="24"/>
        </w:rPr>
        <w:t>D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 xml:space="preserve">epartment of </w:t>
      </w:r>
      <w:r w:rsidR="00A23D39" w:rsidRPr="005A16DC">
        <w:rPr>
          <w:rFonts w:ascii="Times New Roman" w:eastAsia="Times New Roman" w:hAnsi="Times New Roman"/>
          <w:sz w:val="24"/>
          <w:szCs w:val="24"/>
        </w:rPr>
        <w:t>M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 xml:space="preserve">ental </w:t>
      </w:r>
      <w:r w:rsidR="00A23D39" w:rsidRPr="005A16DC">
        <w:rPr>
          <w:rFonts w:ascii="Times New Roman" w:eastAsia="Times New Roman" w:hAnsi="Times New Roman"/>
          <w:sz w:val="24"/>
          <w:szCs w:val="24"/>
        </w:rPr>
        <w:t>H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>ealth</w:t>
      </w:r>
      <w:r w:rsidR="00540E8B">
        <w:rPr>
          <w:rFonts w:ascii="Times New Roman" w:eastAsia="Times New Roman" w:hAnsi="Times New Roman"/>
          <w:sz w:val="24"/>
          <w:szCs w:val="24"/>
        </w:rPr>
        <w:t xml:space="preserve"> (“DMH”)</w:t>
      </w:r>
      <w:r w:rsidR="006C52D2" w:rsidRPr="005A16DC">
        <w:rPr>
          <w:rFonts w:ascii="Times New Roman" w:eastAsia="Times New Roman" w:hAnsi="Times New Roman"/>
          <w:sz w:val="24"/>
          <w:szCs w:val="24"/>
        </w:rPr>
        <w:t xml:space="preserve"> </w:t>
      </w:r>
      <w:r w:rsidR="006A26BA" w:rsidRPr="005A16DC">
        <w:rPr>
          <w:rFonts w:ascii="Times New Roman" w:hAnsi="Times New Roman"/>
          <w:sz w:val="24"/>
          <w:szCs w:val="24"/>
        </w:rPr>
        <w:t xml:space="preserve">of the </w:t>
      </w:r>
      <w:r w:rsidRPr="005A16DC">
        <w:rPr>
          <w:rFonts w:ascii="Times New Roman" w:eastAsia="Times New Roman" w:hAnsi="Times New Roman"/>
          <w:sz w:val="24"/>
          <w:szCs w:val="24"/>
        </w:rPr>
        <w:t>require</w:t>
      </w:r>
      <w:r w:rsidR="006A26BA" w:rsidRPr="005A16DC">
        <w:rPr>
          <w:rFonts w:ascii="Times New Roman" w:eastAsia="Times New Roman" w:hAnsi="Times New Roman"/>
          <w:sz w:val="24"/>
          <w:szCs w:val="24"/>
        </w:rPr>
        <w:t xml:space="preserve">ment </w:t>
      </w:r>
      <w:r w:rsidRPr="005A16DC">
        <w:rPr>
          <w:rFonts w:ascii="Times New Roman" w:eastAsia="Times New Roman" w:hAnsi="Times New Roman"/>
          <w:sz w:val="24"/>
          <w:szCs w:val="24"/>
        </w:rPr>
        <w:t xml:space="preserve">to submit </w:t>
      </w:r>
      <w:r w:rsidR="009864B3" w:rsidRPr="005A16DC">
        <w:rPr>
          <w:rFonts w:ascii="Times New Roman" w:eastAsia="Times New Roman" w:hAnsi="Times New Roman"/>
          <w:sz w:val="24"/>
          <w:szCs w:val="24"/>
        </w:rPr>
        <w:t>health care</w:t>
      </w:r>
      <w:r w:rsidR="006A26BA" w:rsidRPr="005A16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16DC">
        <w:rPr>
          <w:rFonts w:ascii="Times New Roman" w:eastAsia="Times New Roman" w:hAnsi="Times New Roman"/>
          <w:sz w:val="24"/>
          <w:szCs w:val="24"/>
        </w:rPr>
        <w:t>data to CHIA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 xml:space="preserve"> in accordance with 957 CMR 8.03</w:t>
      </w:r>
      <w:r w:rsidR="006A26BA" w:rsidRPr="005A16DC">
        <w:rPr>
          <w:rFonts w:ascii="Times New Roman" w:eastAsia="Times New Roman" w:hAnsi="Times New Roman"/>
          <w:sz w:val="24"/>
          <w:szCs w:val="24"/>
        </w:rPr>
        <w:t>.</w:t>
      </w:r>
      <w:r w:rsidRPr="005A16DC">
        <w:rPr>
          <w:rFonts w:ascii="Times New Roman" w:eastAsia="Times New Roman" w:hAnsi="Times New Roman"/>
          <w:sz w:val="24"/>
          <w:szCs w:val="24"/>
        </w:rPr>
        <w:t xml:space="preserve"> 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>CHIA is also clarifying the definition of hospital to include “any hospital licensed by the Department of Public Health in accordance with the provisions of M.G.L. c. 111, § 51, the teaching hospital of the University of Massachusetts Medical School and any psychiatric facility licensed in accordance with M.G.L. c. 19, § 19</w:t>
      </w:r>
      <w:r w:rsidR="000145C3">
        <w:rPr>
          <w:rFonts w:ascii="Times New Roman" w:eastAsia="Times New Roman" w:hAnsi="Times New Roman"/>
          <w:sz w:val="24"/>
          <w:szCs w:val="24"/>
        </w:rPr>
        <w:t>,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 xml:space="preserve"> or </w:t>
      </w:r>
      <w:r w:rsidR="00D574F7" w:rsidRPr="005A16DC">
        <w:rPr>
          <w:rFonts w:ascii="Times New Roman" w:eastAsia="Times New Roman" w:hAnsi="Times New Roman"/>
          <w:sz w:val="24"/>
          <w:szCs w:val="24"/>
        </w:rPr>
        <w:t>any public health care facility.</w:t>
      </w:r>
      <w:r w:rsidR="00DE7C4A" w:rsidRPr="005A16DC">
        <w:rPr>
          <w:rFonts w:ascii="Times New Roman" w:eastAsia="Times New Roman" w:hAnsi="Times New Roman"/>
          <w:sz w:val="24"/>
          <w:szCs w:val="24"/>
        </w:rPr>
        <w:t>”</w:t>
      </w:r>
      <w:r w:rsidR="00D574F7" w:rsidRPr="005A16DC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246E87" w:rsidRPr="005A16DC" w:rsidRDefault="00246E87" w:rsidP="00912333">
      <w:pPr>
        <w:rPr>
          <w:rFonts w:ascii="Times New Roman" w:eastAsia="Times New Roman" w:hAnsi="Times New Roman"/>
          <w:sz w:val="24"/>
          <w:szCs w:val="24"/>
        </w:rPr>
      </w:pPr>
    </w:p>
    <w:p w:rsidR="00650194" w:rsidRPr="005A16DC" w:rsidRDefault="000C7655" w:rsidP="00395F6B">
      <w:pPr>
        <w:rPr>
          <w:rFonts w:ascii="Times New Roman" w:eastAsia="Times New Roman" w:hAnsi="Times New Roman"/>
          <w:sz w:val="24"/>
          <w:szCs w:val="24"/>
        </w:rPr>
      </w:pPr>
      <w:r w:rsidRPr="005A16DC">
        <w:rPr>
          <w:rFonts w:ascii="Times New Roman" w:eastAsia="Times New Roman" w:hAnsi="Times New Roman"/>
          <w:sz w:val="24"/>
          <w:szCs w:val="24"/>
        </w:rPr>
        <w:t xml:space="preserve">Beginning in the Fiscal Year (“FY”) 2018 data reporting cycle, </w:t>
      </w:r>
      <w:r w:rsidR="006C52D2" w:rsidRPr="005A16DC">
        <w:rPr>
          <w:rFonts w:ascii="Times New Roman" w:eastAsia="Times New Roman" w:hAnsi="Times New Roman"/>
          <w:sz w:val="24"/>
          <w:szCs w:val="24"/>
        </w:rPr>
        <w:t xml:space="preserve">non-acute psychiatric hospitals and </w:t>
      </w:r>
      <w:r w:rsidR="00C710CC" w:rsidRPr="005A16DC">
        <w:rPr>
          <w:rFonts w:ascii="Times New Roman" w:eastAsia="Times New Roman" w:hAnsi="Times New Roman"/>
          <w:sz w:val="24"/>
          <w:szCs w:val="24"/>
        </w:rPr>
        <w:t>select</w:t>
      </w:r>
      <w:r w:rsidR="006C52D2" w:rsidRPr="005A16DC">
        <w:rPr>
          <w:rFonts w:ascii="Times New Roman" w:eastAsia="Times New Roman" w:hAnsi="Times New Roman"/>
          <w:sz w:val="24"/>
          <w:szCs w:val="24"/>
        </w:rPr>
        <w:t xml:space="preserve"> psychiatric facilities</w:t>
      </w:r>
      <w:r w:rsidR="0023785A">
        <w:rPr>
          <w:rFonts w:ascii="Times New Roman" w:eastAsia="Times New Roman" w:hAnsi="Times New Roman"/>
          <w:sz w:val="24"/>
          <w:szCs w:val="24"/>
        </w:rPr>
        <w:t xml:space="preserve"> controlled by DMH</w:t>
      </w:r>
      <w:r w:rsidRPr="005A16DC">
        <w:rPr>
          <w:rFonts w:ascii="Times New Roman" w:eastAsia="Times New Roman" w:hAnsi="Times New Roman"/>
          <w:sz w:val="24"/>
          <w:szCs w:val="24"/>
        </w:rPr>
        <w:t xml:space="preserve"> shall submit</w:t>
      </w:r>
      <w:r w:rsidR="001B4A32" w:rsidRPr="005A16DC">
        <w:rPr>
          <w:rFonts w:ascii="Times New Roman" w:eastAsia="Times New Roman" w:hAnsi="Times New Roman"/>
          <w:sz w:val="24"/>
          <w:szCs w:val="24"/>
        </w:rPr>
        <w:t xml:space="preserve"> quarterly Case Mix and C</w:t>
      </w:r>
      <w:r w:rsidRPr="005A16DC">
        <w:rPr>
          <w:rFonts w:ascii="Times New Roman" w:eastAsia="Times New Roman" w:hAnsi="Times New Roman"/>
          <w:sz w:val="24"/>
          <w:szCs w:val="24"/>
        </w:rPr>
        <w:t xml:space="preserve">harge data files to </w:t>
      </w:r>
      <w:r w:rsidR="001B4A32" w:rsidRPr="005A16DC">
        <w:rPr>
          <w:rFonts w:ascii="Times New Roman" w:eastAsia="Times New Roman" w:hAnsi="Times New Roman"/>
          <w:sz w:val="24"/>
          <w:szCs w:val="24"/>
        </w:rPr>
        <w:t>CHIA</w:t>
      </w:r>
      <w:r w:rsidRPr="005A16DC">
        <w:rPr>
          <w:rFonts w:ascii="Times New Roman" w:eastAsia="Times New Roman" w:hAnsi="Times New Roman"/>
          <w:sz w:val="24"/>
          <w:szCs w:val="24"/>
        </w:rPr>
        <w:t>.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 xml:space="preserve"> </w:t>
      </w:r>
      <w:r w:rsidR="00650194" w:rsidRPr="005A16DC">
        <w:rPr>
          <w:rFonts w:ascii="Times New Roman" w:eastAsia="Times New Roman" w:hAnsi="Times New Roman"/>
          <w:sz w:val="24"/>
          <w:szCs w:val="24"/>
        </w:rPr>
        <w:t xml:space="preserve">Data submitters should consult CHIA’s </w:t>
      </w:r>
      <w:r w:rsidR="002069D2" w:rsidRPr="005A16DC">
        <w:rPr>
          <w:rFonts w:ascii="Times New Roman" w:eastAsia="Times New Roman" w:hAnsi="Times New Roman"/>
          <w:sz w:val="24"/>
          <w:szCs w:val="24"/>
        </w:rPr>
        <w:t xml:space="preserve">submission guide “Inpatient Discharge Data from Behavioral Health Facilities” </w:t>
      </w:r>
      <w:r w:rsidR="00650194" w:rsidRPr="005A16DC">
        <w:rPr>
          <w:rFonts w:ascii="Times New Roman" w:eastAsia="Times New Roman" w:hAnsi="Times New Roman"/>
          <w:sz w:val="24"/>
          <w:szCs w:val="24"/>
        </w:rPr>
        <w:t>for detailed instructions on how to report and submit the data file</w:t>
      </w:r>
      <w:r w:rsidR="002069D2" w:rsidRPr="005A16DC">
        <w:rPr>
          <w:rFonts w:ascii="Times New Roman" w:eastAsia="Times New Roman" w:hAnsi="Times New Roman"/>
          <w:sz w:val="24"/>
          <w:szCs w:val="24"/>
        </w:rPr>
        <w:t>s</w:t>
      </w:r>
      <w:r w:rsidR="00650194" w:rsidRPr="005A16DC">
        <w:rPr>
          <w:rFonts w:ascii="Times New Roman" w:eastAsia="Times New Roman" w:hAnsi="Times New Roman"/>
          <w:sz w:val="24"/>
          <w:szCs w:val="24"/>
        </w:rPr>
        <w:t>.</w:t>
      </w:r>
      <w:r w:rsidR="002069D2" w:rsidRPr="005A16DC">
        <w:rPr>
          <w:rFonts w:ascii="Times New Roman" w:eastAsia="Times New Roman" w:hAnsi="Times New Roman"/>
          <w:sz w:val="24"/>
          <w:szCs w:val="24"/>
        </w:rPr>
        <w:t xml:space="preserve"> The submission guide is available on CHIA’s website at this </w:t>
      </w:r>
      <w:hyperlink r:id="rId9" w:history="1">
        <w:r w:rsidR="002069D2" w:rsidRPr="005A16DC">
          <w:rPr>
            <w:rStyle w:val="Hyperlink"/>
            <w:rFonts w:ascii="Times New Roman" w:eastAsia="Times New Roman" w:hAnsi="Times New Roman"/>
            <w:sz w:val="24"/>
            <w:szCs w:val="24"/>
          </w:rPr>
          <w:t>link</w:t>
        </w:r>
      </w:hyperlink>
      <w:r w:rsidR="002069D2" w:rsidRPr="005A16DC">
        <w:rPr>
          <w:rFonts w:ascii="Times New Roman" w:eastAsia="Times New Roman" w:hAnsi="Times New Roman"/>
          <w:sz w:val="24"/>
          <w:szCs w:val="24"/>
        </w:rPr>
        <w:t>.</w:t>
      </w:r>
      <w:r w:rsidR="00E353D6" w:rsidRPr="005A16DC">
        <w:rPr>
          <w:rFonts w:ascii="Times New Roman" w:eastAsia="Times New Roman" w:hAnsi="Times New Roman"/>
          <w:sz w:val="24"/>
          <w:szCs w:val="24"/>
        </w:rPr>
        <w:t xml:space="preserve"> </w:t>
      </w:r>
      <w:r w:rsidR="00912333" w:rsidRPr="005A16DC">
        <w:rPr>
          <w:rFonts w:ascii="Times New Roman" w:eastAsia="Times New Roman" w:hAnsi="Times New Roman"/>
          <w:sz w:val="24"/>
          <w:szCs w:val="24"/>
        </w:rPr>
        <w:t>There is no change to the data submission process for Acute Hospitals; Acute Hospitals shall continue to submit data to the Acute Hospital Case Mix Database in accordance with the Hospital Case Mix Data Specification Manuals.</w:t>
      </w:r>
    </w:p>
    <w:p w:rsidR="00246E87" w:rsidRDefault="00246E87" w:rsidP="00395F6B">
      <w:pPr>
        <w:rPr>
          <w:rFonts w:ascii="Times New Roman" w:eastAsia="Times New Roman" w:hAnsi="Times New Roman"/>
          <w:sz w:val="24"/>
          <w:szCs w:val="24"/>
        </w:rPr>
      </w:pPr>
    </w:p>
    <w:p w:rsidR="00701BFC" w:rsidRPr="005A16DC" w:rsidRDefault="004B6502" w:rsidP="00395F6B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5A16DC">
        <w:rPr>
          <w:rFonts w:ascii="Times New Roman" w:eastAsia="Times New Roman" w:hAnsi="Times New Roman"/>
          <w:sz w:val="24"/>
          <w:szCs w:val="24"/>
        </w:rPr>
        <w:t>The deadline</w:t>
      </w:r>
      <w:r w:rsidR="006A26BA" w:rsidRPr="005A16DC">
        <w:rPr>
          <w:rFonts w:ascii="Times New Roman" w:eastAsia="Times New Roman" w:hAnsi="Times New Roman"/>
          <w:sz w:val="24"/>
          <w:szCs w:val="24"/>
        </w:rPr>
        <w:t xml:space="preserve"> for submitting data </w:t>
      </w:r>
      <w:r w:rsidR="00395F6B" w:rsidRPr="005A16DC">
        <w:rPr>
          <w:rFonts w:ascii="Times New Roman" w:eastAsia="Times New Roman" w:hAnsi="Times New Roman"/>
          <w:sz w:val="24"/>
          <w:szCs w:val="24"/>
        </w:rPr>
        <w:t xml:space="preserve">governed by 957 CMR 8.00 </w:t>
      </w:r>
      <w:r w:rsidRPr="005A16DC">
        <w:rPr>
          <w:rFonts w:ascii="Times New Roman" w:eastAsia="Times New Roman" w:hAnsi="Times New Roman"/>
          <w:sz w:val="24"/>
          <w:szCs w:val="24"/>
        </w:rPr>
        <w:t>is specified</w:t>
      </w:r>
      <w:r w:rsidR="006A26BA" w:rsidRPr="005A16DC">
        <w:rPr>
          <w:rFonts w:ascii="Times New Roman" w:eastAsia="Times New Roman" w:hAnsi="Times New Roman"/>
          <w:sz w:val="24"/>
          <w:szCs w:val="24"/>
        </w:rPr>
        <w:t xml:space="preserve"> in the </w:t>
      </w:r>
      <w:r w:rsidR="000E3E3D" w:rsidRPr="005A16DC">
        <w:rPr>
          <w:rFonts w:ascii="Times New Roman" w:eastAsia="Times New Roman" w:hAnsi="Times New Roman"/>
          <w:sz w:val="24"/>
          <w:szCs w:val="24"/>
        </w:rPr>
        <w:t xml:space="preserve">submission guide. </w:t>
      </w:r>
      <w:r w:rsidR="006A26BA" w:rsidRPr="005A16DC">
        <w:rPr>
          <w:rFonts w:ascii="Times New Roman" w:eastAsia="Times New Roman" w:hAnsi="Times New Roman"/>
          <w:sz w:val="24"/>
          <w:szCs w:val="24"/>
        </w:rPr>
        <w:t xml:space="preserve">During the first year of submission, CHIA is extending the </w:t>
      </w:r>
      <w:r w:rsidR="00701BFC" w:rsidRPr="005A16DC">
        <w:rPr>
          <w:rFonts w:ascii="Times New Roman" w:eastAsia="Times New Roman" w:hAnsi="Times New Roman"/>
          <w:sz w:val="24"/>
          <w:szCs w:val="24"/>
        </w:rPr>
        <w:t>deadline</w:t>
      </w:r>
      <w:r w:rsidR="00395F6B" w:rsidRPr="005A16DC">
        <w:rPr>
          <w:rFonts w:ascii="Times New Roman" w:eastAsia="Times New Roman" w:hAnsi="Times New Roman"/>
          <w:sz w:val="24"/>
          <w:szCs w:val="24"/>
        </w:rPr>
        <w:t xml:space="preserve"> for </w:t>
      </w:r>
      <w:r w:rsidR="00761DB9" w:rsidRPr="005A16DC">
        <w:rPr>
          <w:rFonts w:ascii="Times New Roman" w:eastAsia="Times New Roman" w:hAnsi="Times New Roman"/>
          <w:sz w:val="24"/>
          <w:szCs w:val="24"/>
        </w:rPr>
        <w:t xml:space="preserve">the </w:t>
      </w:r>
      <w:r w:rsidR="00395F6B" w:rsidRPr="005A16DC">
        <w:rPr>
          <w:rFonts w:ascii="Times New Roman" w:eastAsia="Times New Roman" w:hAnsi="Times New Roman"/>
          <w:sz w:val="24"/>
          <w:szCs w:val="24"/>
        </w:rPr>
        <w:t xml:space="preserve">first quarter of </w:t>
      </w:r>
      <w:r w:rsidR="00BC5BA0" w:rsidRPr="005A16DC">
        <w:rPr>
          <w:rFonts w:ascii="Times New Roman" w:eastAsia="Times New Roman" w:hAnsi="Times New Roman"/>
          <w:sz w:val="24"/>
          <w:szCs w:val="24"/>
        </w:rPr>
        <w:t>FY</w:t>
      </w:r>
      <w:r w:rsidR="00395F6B" w:rsidRPr="005A16DC">
        <w:rPr>
          <w:rFonts w:ascii="Times New Roman" w:eastAsia="Times New Roman" w:hAnsi="Times New Roman"/>
          <w:sz w:val="24"/>
          <w:szCs w:val="24"/>
        </w:rPr>
        <w:t xml:space="preserve"> 2018 data</w:t>
      </w:r>
      <w:r w:rsidR="001359D0" w:rsidRPr="005A16DC">
        <w:rPr>
          <w:rFonts w:ascii="Times New Roman" w:eastAsia="Times New Roman" w:hAnsi="Times New Roman"/>
          <w:sz w:val="24"/>
          <w:szCs w:val="24"/>
        </w:rPr>
        <w:t xml:space="preserve"> (Oct. 1, 2017 – Dec. 31, 2017)</w:t>
      </w:r>
      <w:r w:rsidR="00395F6B" w:rsidRPr="005A16DC">
        <w:rPr>
          <w:rFonts w:ascii="Times New Roman" w:eastAsia="Times New Roman" w:hAnsi="Times New Roman"/>
          <w:sz w:val="24"/>
          <w:szCs w:val="24"/>
        </w:rPr>
        <w:t xml:space="preserve"> from </w:t>
      </w:r>
      <w:r w:rsidR="00BC5BA0" w:rsidRPr="005A16DC">
        <w:rPr>
          <w:rFonts w:ascii="Times New Roman" w:eastAsia="Times New Roman" w:hAnsi="Times New Roman"/>
          <w:sz w:val="24"/>
          <w:szCs w:val="24"/>
        </w:rPr>
        <w:t>March 16, 2018</w:t>
      </w:r>
      <w:r w:rsidR="00701BFC" w:rsidRPr="005A16DC">
        <w:rPr>
          <w:rFonts w:ascii="Times New Roman" w:eastAsia="Times New Roman" w:hAnsi="Times New Roman"/>
          <w:sz w:val="24"/>
          <w:szCs w:val="24"/>
        </w:rPr>
        <w:t xml:space="preserve"> to May 1, 2018</w:t>
      </w:r>
      <w:r w:rsidR="008D4472" w:rsidRPr="005A16DC">
        <w:rPr>
          <w:rFonts w:ascii="Times New Roman" w:eastAsia="Times New Roman" w:hAnsi="Times New Roman"/>
          <w:sz w:val="24"/>
          <w:szCs w:val="24"/>
        </w:rPr>
        <w:t xml:space="preserve"> for providers</w:t>
      </w:r>
      <w:r w:rsidR="00761DB9" w:rsidRPr="005A16DC">
        <w:rPr>
          <w:rFonts w:ascii="Times New Roman" w:eastAsia="Times New Roman" w:hAnsi="Times New Roman"/>
          <w:sz w:val="24"/>
          <w:szCs w:val="24"/>
        </w:rPr>
        <w:t xml:space="preserve"> to address start-up issues</w:t>
      </w:r>
      <w:r w:rsidR="00701BFC" w:rsidRPr="005A16DC">
        <w:rPr>
          <w:rFonts w:ascii="Times New Roman" w:eastAsia="Times New Roman" w:hAnsi="Times New Roman"/>
          <w:sz w:val="24"/>
          <w:szCs w:val="24"/>
        </w:rPr>
        <w:t>. The deadline</w:t>
      </w:r>
      <w:r w:rsidR="006A26BA" w:rsidRPr="005A16DC">
        <w:rPr>
          <w:rFonts w:ascii="Times New Roman" w:eastAsia="Times New Roman" w:hAnsi="Times New Roman"/>
          <w:sz w:val="24"/>
          <w:szCs w:val="24"/>
        </w:rPr>
        <w:t>s</w:t>
      </w:r>
      <w:r w:rsidR="00701BFC" w:rsidRPr="005A16DC">
        <w:rPr>
          <w:rFonts w:ascii="Times New Roman" w:eastAsia="Times New Roman" w:hAnsi="Times New Roman"/>
          <w:sz w:val="24"/>
          <w:szCs w:val="24"/>
        </w:rPr>
        <w:t xml:space="preserve"> for all other </w:t>
      </w:r>
      <w:r w:rsidR="00822546" w:rsidRPr="005A16DC">
        <w:rPr>
          <w:rFonts w:ascii="Times New Roman" w:eastAsia="Times New Roman" w:hAnsi="Times New Roman"/>
          <w:sz w:val="24"/>
          <w:szCs w:val="24"/>
        </w:rPr>
        <w:t>file submissions</w:t>
      </w:r>
      <w:r w:rsidR="00701BFC" w:rsidRPr="005A16DC">
        <w:rPr>
          <w:rFonts w:ascii="Times New Roman" w:eastAsia="Times New Roman" w:hAnsi="Times New Roman"/>
          <w:sz w:val="24"/>
          <w:szCs w:val="24"/>
        </w:rPr>
        <w:t xml:space="preserve"> </w:t>
      </w:r>
      <w:r w:rsidR="006A26BA" w:rsidRPr="005A16DC">
        <w:rPr>
          <w:rFonts w:ascii="Times New Roman" w:eastAsia="Times New Roman" w:hAnsi="Times New Roman"/>
          <w:sz w:val="24"/>
          <w:szCs w:val="24"/>
        </w:rPr>
        <w:t>are unchanged and are included as a reminder.</w:t>
      </w:r>
    </w:p>
    <w:tbl>
      <w:tblPr>
        <w:tblStyle w:val="TableGrid"/>
        <w:tblW w:w="9810" w:type="dxa"/>
        <w:tblInd w:w="108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210"/>
      </w:tblGrid>
      <w:tr w:rsidR="002069D2" w:rsidRPr="00380FDA" w:rsidTr="00E768AA">
        <w:trPr>
          <w:trHeight w:val="282"/>
          <w:tblHeader/>
        </w:trPr>
        <w:tc>
          <w:tcPr>
            <w:tcW w:w="3600" w:type="dxa"/>
            <w:shd w:val="clear" w:color="auto" w:fill="4F81BD" w:themeFill="accent1"/>
            <w:vAlign w:val="center"/>
          </w:tcPr>
          <w:p w:rsidR="002069D2" w:rsidRPr="00166849" w:rsidRDefault="002069D2" w:rsidP="00E768AA">
            <w:pPr>
              <w:keepLines/>
              <w:spacing w:after="0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6210" w:type="dxa"/>
            <w:shd w:val="clear" w:color="auto" w:fill="4F81BD" w:themeFill="accent1"/>
            <w:vAlign w:val="center"/>
          </w:tcPr>
          <w:p w:rsidR="002069D2" w:rsidRPr="00166849" w:rsidRDefault="002069D2" w:rsidP="00E768AA">
            <w:pPr>
              <w:keepLines/>
              <w:spacing w:after="0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20"/>
              </w:rPr>
              <w:t>Data File Due</w:t>
            </w:r>
          </w:p>
        </w:tc>
      </w:tr>
      <w:tr w:rsidR="002069D2" w:rsidRPr="00380FDA" w:rsidTr="002069D2">
        <w:trPr>
          <w:trHeight w:val="451"/>
        </w:trPr>
        <w:tc>
          <w:tcPr>
            <w:tcW w:w="3600" w:type="dxa"/>
            <w:vAlign w:val="center"/>
          </w:tcPr>
          <w:p w:rsidR="002069D2" w:rsidRDefault="007C2802" w:rsidP="00E768AA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Extended to </w:t>
            </w:r>
            <w:r w:rsidR="00606F19" w:rsidRPr="00166849">
              <w:rPr>
                <w:rFonts w:ascii="Times New Roman" w:eastAsia="Times New Roman" w:hAnsi="Times New Roman"/>
                <w:sz w:val="20"/>
                <w:szCs w:val="20"/>
              </w:rPr>
              <w:t>Tuesday</w:t>
            </w:r>
            <w:r w:rsidR="002069D2" w:rsidRPr="00166849">
              <w:rPr>
                <w:rFonts w:ascii="Times New Roman" w:eastAsia="Times New Roman" w:hAnsi="Times New Roman"/>
                <w:sz w:val="20"/>
                <w:szCs w:val="20"/>
              </w:rPr>
              <w:t>, May 1, 2018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C2802" w:rsidRPr="00166849" w:rsidRDefault="007C2802" w:rsidP="00E768AA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for first year only</w:t>
            </w:r>
          </w:p>
        </w:tc>
        <w:tc>
          <w:tcPr>
            <w:tcW w:w="6210" w:type="dxa"/>
            <w:vAlign w:val="center"/>
          </w:tcPr>
          <w:p w:rsidR="002069D2" w:rsidRPr="00166849" w:rsidRDefault="002069D2" w:rsidP="00414E33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6684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st</w:t>
            </w: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 Quarter FY 2018 Case Mix and Charge File</w:t>
            </w:r>
          </w:p>
        </w:tc>
      </w:tr>
      <w:tr w:rsidR="002069D2" w:rsidRPr="00380FDA" w:rsidTr="00E768AA">
        <w:trPr>
          <w:trHeight w:val="266"/>
        </w:trPr>
        <w:tc>
          <w:tcPr>
            <w:tcW w:w="3600" w:type="dxa"/>
            <w:vAlign w:val="center"/>
          </w:tcPr>
          <w:p w:rsidR="002069D2" w:rsidRPr="00166849" w:rsidRDefault="00A744C3" w:rsidP="00A744C3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>Thursday, June 14</w:t>
            </w:r>
            <w:r w:rsidR="002069D2"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, 2018 </w:t>
            </w:r>
            <w:r w:rsidR="005C5155"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2069D2" w:rsidRPr="00166849" w:rsidRDefault="00414E33" w:rsidP="000540F3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0540F3" w:rsidRPr="0016684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nd</w:t>
            </w:r>
            <w:r w:rsidR="002069D2"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 Quarter FY 2018 Case Mix and Charge File</w:t>
            </w:r>
          </w:p>
        </w:tc>
      </w:tr>
      <w:tr w:rsidR="002069D2" w:rsidRPr="00380FDA" w:rsidTr="00E768AA">
        <w:trPr>
          <w:trHeight w:val="537"/>
        </w:trPr>
        <w:tc>
          <w:tcPr>
            <w:tcW w:w="3600" w:type="dxa"/>
            <w:vAlign w:val="center"/>
          </w:tcPr>
          <w:p w:rsidR="002069D2" w:rsidRPr="00166849" w:rsidRDefault="00A744C3" w:rsidP="000C515B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Thursday</w:t>
            </w:r>
            <w:r w:rsidR="002069D2"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>September 13</w:t>
            </w:r>
            <w:r w:rsidR="002069D2" w:rsidRPr="00166849">
              <w:rPr>
                <w:rFonts w:ascii="Times New Roman" w:eastAsia="Times New Roman" w:hAnsi="Times New Roman"/>
                <w:sz w:val="20"/>
                <w:szCs w:val="20"/>
              </w:rPr>
              <w:t>, 201</w:t>
            </w:r>
            <w:r w:rsidR="000C515B" w:rsidRPr="0016684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10" w:type="dxa"/>
            <w:vAlign w:val="center"/>
          </w:tcPr>
          <w:p w:rsidR="002069D2" w:rsidRPr="00166849" w:rsidRDefault="00414E33" w:rsidP="000540F3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0540F3" w:rsidRPr="0016684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rd</w:t>
            </w:r>
            <w:r w:rsidR="000540F3"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069D2" w:rsidRPr="00166849">
              <w:rPr>
                <w:rFonts w:ascii="Times New Roman" w:eastAsia="Times New Roman" w:hAnsi="Times New Roman"/>
                <w:sz w:val="20"/>
                <w:szCs w:val="20"/>
              </w:rPr>
              <w:t>Quarter FY 2018 Case Mix and Charge File</w:t>
            </w:r>
          </w:p>
        </w:tc>
      </w:tr>
      <w:tr w:rsidR="002069D2" w:rsidRPr="00380FDA" w:rsidTr="00E768AA">
        <w:trPr>
          <w:trHeight w:val="537"/>
        </w:trPr>
        <w:tc>
          <w:tcPr>
            <w:tcW w:w="3600" w:type="dxa"/>
            <w:vAlign w:val="center"/>
          </w:tcPr>
          <w:p w:rsidR="002069D2" w:rsidRPr="00166849" w:rsidRDefault="002069D2" w:rsidP="00117EA4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Friday, </w:t>
            </w:r>
            <w:r w:rsidR="00117EA4" w:rsidRPr="00166849">
              <w:rPr>
                <w:rFonts w:ascii="Times New Roman" w:eastAsia="Times New Roman" w:hAnsi="Times New Roman"/>
                <w:sz w:val="20"/>
                <w:szCs w:val="20"/>
              </w:rPr>
              <w:t>December</w:t>
            </w: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 14, </w:t>
            </w:r>
            <w:r w:rsidR="00117EA4" w:rsidRPr="00166849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210" w:type="dxa"/>
            <w:vAlign w:val="center"/>
          </w:tcPr>
          <w:p w:rsidR="002069D2" w:rsidRPr="00166849" w:rsidRDefault="00414E33" w:rsidP="000540F3">
            <w:pPr>
              <w:keepLine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84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0540F3" w:rsidRPr="0016684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th</w:t>
            </w:r>
            <w:r w:rsidR="000540F3" w:rsidRPr="001668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069D2" w:rsidRPr="00166849">
              <w:rPr>
                <w:rFonts w:ascii="Times New Roman" w:eastAsia="Times New Roman" w:hAnsi="Times New Roman"/>
                <w:sz w:val="20"/>
                <w:szCs w:val="20"/>
              </w:rPr>
              <w:t>Quarter FY 2018 Case Mix and Charge File</w:t>
            </w:r>
          </w:p>
        </w:tc>
      </w:tr>
    </w:tbl>
    <w:p w:rsidR="00A9192C" w:rsidRPr="00284852" w:rsidRDefault="00A9192C" w:rsidP="00B60BD5">
      <w:pPr>
        <w:rPr>
          <w:rFonts w:ascii="Times New Roman" w:eastAsia="Times New Roman" w:hAnsi="Times New Roman"/>
          <w:sz w:val="24"/>
          <w:szCs w:val="24"/>
        </w:rPr>
      </w:pPr>
    </w:p>
    <w:sectPr w:rsidR="00A9192C" w:rsidRPr="00284852" w:rsidSect="00DA540F">
      <w:footerReference w:type="default" r:id="rId10"/>
      <w:headerReference w:type="first" r:id="rId11"/>
      <w:footerReference w:type="first" r:id="rId12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D0" w:rsidRDefault="004750D0">
      <w:r>
        <w:separator/>
      </w:r>
    </w:p>
  </w:endnote>
  <w:endnote w:type="continuationSeparator" w:id="0">
    <w:p w:rsidR="004750D0" w:rsidRDefault="0047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Footer"/>
      <w:jc w:val="center"/>
    </w:pPr>
  </w:p>
  <w:p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7BC630" wp14:editId="7B6EFCA5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:rsidR="00380FDA" w:rsidRPr="00380FDA" w:rsidRDefault="00380FDA" w:rsidP="00380FDA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380FDA"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</w:p>
                  <w:p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:rsidR="00380FDA" w:rsidRPr="00380FDA" w:rsidRDefault="00380FDA" w:rsidP="00380FDA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</w:pPr>
                    <w:r w:rsidRPr="00380FDA"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</w:p>
                  <w:p w:rsidR="00E96EEE" w:rsidRDefault="00E96EEE" w:rsidP="00E96EEE"/>
                </w:txbxContent>
              </v:textbox>
            </v:shape>
          </w:pict>
        </mc:Fallback>
      </mc:AlternateContent>
    </w:r>
  </w:p>
  <w:p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D0" w:rsidRDefault="004750D0">
      <w:r>
        <w:separator/>
      </w:r>
    </w:p>
  </w:footnote>
  <w:footnote w:type="continuationSeparator" w:id="0">
    <w:p w:rsidR="004750D0" w:rsidRDefault="0047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7B03E8E" wp14:editId="7F5CA579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DC"/>
    <w:multiLevelType w:val="hybridMultilevel"/>
    <w:tmpl w:val="046A8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753AA"/>
    <w:multiLevelType w:val="hybridMultilevel"/>
    <w:tmpl w:val="D190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0C70F5"/>
    <w:multiLevelType w:val="hybridMultilevel"/>
    <w:tmpl w:val="9C96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7E7D"/>
    <w:multiLevelType w:val="hybridMultilevel"/>
    <w:tmpl w:val="C99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C26FC"/>
    <w:multiLevelType w:val="hybridMultilevel"/>
    <w:tmpl w:val="9138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A02D9"/>
    <w:multiLevelType w:val="hybridMultilevel"/>
    <w:tmpl w:val="6E644C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5C46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E3B4C"/>
    <w:multiLevelType w:val="hybridMultilevel"/>
    <w:tmpl w:val="3496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E91699"/>
    <w:multiLevelType w:val="hybridMultilevel"/>
    <w:tmpl w:val="583A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64EF6"/>
    <w:multiLevelType w:val="hybridMultilevel"/>
    <w:tmpl w:val="117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02080"/>
    <w:multiLevelType w:val="hybridMultilevel"/>
    <w:tmpl w:val="0A723478"/>
    <w:lvl w:ilvl="0" w:tplc="5448D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68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1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E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8B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EC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AC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EC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EE"/>
    <w:rsid w:val="000067EA"/>
    <w:rsid w:val="000100DB"/>
    <w:rsid w:val="00010137"/>
    <w:rsid w:val="000145C3"/>
    <w:rsid w:val="000179F8"/>
    <w:rsid w:val="0002016E"/>
    <w:rsid w:val="000540F3"/>
    <w:rsid w:val="00064C05"/>
    <w:rsid w:val="00065503"/>
    <w:rsid w:val="000661CD"/>
    <w:rsid w:val="000675E6"/>
    <w:rsid w:val="00091F20"/>
    <w:rsid w:val="00097766"/>
    <w:rsid w:val="000A4D15"/>
    <w:rsid w:val="000C515B"/>
    <w:rsid w:val="000C7655"/>
    <w:rsid w:val="000D03CA"/>
    <w:rsid w:val="000E3E3D"/>
    <w:rsid w:val="000F45AB"/>
    <w:rsid w:val="00105401"/>
    <w:rsid w:val="00117EA4"/>
    <w:rsid w:val="001359D0"/>
    <w:rsid w:val="001518CD"/>
    <w:rsid w:val="00166849"/>
    <w:rsid w:val="0018083D"/>
    <w:rsid w:val="001961C2"/>
    <w:rsid w:val="001B4A32"/>
    <w:rsid w:val="001D5DE2"/>
    <w:rsid w:val="001D69FE"/>
    <w:rsid w:val="001D7563"/>
    <w:rsid w:val="001D7EB1"/>
    <w:rsid w:val="001E06A8"/>
    <w:rsid w:val="001E4C6A"/>
    <w:rsid w:val="001F1BD1"/>
    <w:rsid w:val="001F3947"/>
    <w:rsid w:val="001F5ACA"/>
    <w:rsid w:val="001F62A6"/>
    <w:rsid w:val="00201FB2"/>
    <w:rsid w:val="002069D2"/>
    <w:rsid w:val="00221D90"/>
    <w:rsid w:val="00223D0E"/>
    <w:rsid w:val="0023027F"/>
    <w:rsid w:val="002343DC"/>
    <w:rsid w:val="00234AF0"/>
    <w:rsid w:val="0023785A"/>
    <w:rsid w:val="00246E87"/>
    <w:rsid w:val="00263280"/>
    <w:rsid w:val="00272058"/>
    <w:rsid w:val="00274CC1"/>
    <w:rsid w:val="00284852"/>
    <w:rsid w:val="00286F87"/>
    <w:rsid w:val="00294A6D"/>
    <w:rsid w:val="002A7FFD"/>
    <w:rsid w:val="002D1CD9"/>
    <w:rsid w:val="003036B4"/>
    <w:rsid w:val="00304DD6"/>
    <w:rsid w:val="00322179"/>
    <w:rsid w:val="00333335"/>
    <w:rsid w:val="00355212"/>
    <w:rsid w:val="003747CD"/>
    <w:rsid w:val="00380FDA"/>
    <w:rsid w:val="0038757C"/>
    <w:rsid w:val="00387EDA"/>
    <w:rsid w:val="00391274"/>
    <w:rsid w:val="00395F6B"/>
    <w:rsid w:val="003A2A03"/>
    <w:rsid w:val="003A670F"/>
    <w:rsid w:val="003B0970"/>
    <w:rsid w:val="003B1B0E"/>
    <w:rsid w:val="003C2934"/>
    <w:rsid w:val="003F1358"/>
    <w:rsid w:val="00413D4B"/>
    <w:rsid w:val="00414E33"/>
    <w:rsid w:val="004306E1"/>
    <w:rsid w:val="00432C49"/>
    <w:rsid w:val="004415B6"/>
    <w:rsid w:val="004442E2"/>
    <w:rsid w:val="004738BA"/>
    <w:rsid w:val="00473F50"/>
    <w:rsid w:val="004750D0"/>
    <w:rsid w:val="004949BE"/>
    <w:rsid w:val="004A1213"/>
    <w:rsid w:val="004B2068"/>
    <w:rsid w:val="004B5A47"/>
    <w:rsid w:val="004B6502"/>
    <w:rsid w:val="004D3986"/>
    <w:rsid w:val="004D6193"/>
    <w:rsid w:val="004F6614"/>
    <w:rsid w:val="00504C00"/>
    <w:rsid w:val="00516718"/>
    <w:rsid w:val="00524B06"/>
    <w:rsid w:val="00540E8B"/>
    <w:rsid w:val="00542D51"/>
    <w:rsid w:val="0055176E"/>
    <w:rsid w:val="0055300B"/>
    <w:rsid w:val="00555AB5"/>
    <w:rsid w:val="00562648"/>
    <w:rsid w:val="00563507"/>
    <w:rsid w:val="00565FE1"/>
    <w:rsid w:val="005742A8"/>
    <w:rsid w:val="005A1142"/>
    <w:rsid w:val="005A16DC"/>
    <w:rsid w:val="005A4459"/>
    <w:rsid w:val="005B57AC"/>
    <w:rsid w:val="005C02EC"/>
    <w:rsid w:val="005C23CF"/>
    <w:rsid w:val="005C5155"/>
    <w:rsid w:val="005C5670"/>
    <w:rsid w:val="005D7DE2"/>
    <w:rsid w:val="005F5234"/>
    <w:rsid w:val="00606F19"/>
    <w:rsid w:val="00614125"/>
    <w:rsid w:val="00614EC6"/>
    <w:rsid w:val="006213C5"/>
    <w:rsid w:val="00636CD8"/>
    <w:rsid w:val="00650194"/>
    <w:rsid w:val="00687A69"/>
    <w:rsid w:val="006A02A5"/>
    <w:rsid w:val="006A1DD9"/>
    <w:rsid w:val="006A1FEA"/>
    <w:rsid w:val="006A26BA"/>
    <w:rsid w:val="006A709E"/>
    <w:rsid w:val="006C52D2"/>
    <w:rsid w:val="006D2B91"/>
    <w:rsid w:val="006E1F3E"/>
    <w:rsid w:val="006F0079"/>
    <w:rsid w:val="006F7052"/>
    <w:rsid w:val="00701BFC"/>
    <w:rsid w:val="0070368F"/>
    <w:rsid w:val="007165C8"/>
    <w:rsid w:val="00720073"/>
    <w:rsid w:val="0073636C"/>
    <w:rsid w:val="00740662"/>
    <w:rsid w:val="00740FDC"/>
    <w:rsid w:val="00753DD4"/>
    <w:rsid w:val="00761DB9"/>
    <w:rsid w:val="00775CED"/>
    <w:rsid w:val="00780AC4"/>
    <w:rsid w:val="007B02CF"/>
    <w:rsid w:val="007C2802"/>
    <w:rsid w:val="007F76A7"/>
    <w:rsid w:val="007F7DED"/>
    <w:rsid w:val="00804D22"/>
    <w:rsid w:val="00822546"/>
    <w:rsid w:val="00877BE2"/>
    <w:rsid w:val="00881C18"/>
    <w:rsid w:val="00883E08"/>
    <w:rsid w:val="00890BAB"/>
    <w:rsid w:val="00891D16"/>
    <w:rsid w:val="008A3223"/>
    <w:rsid w:val="008A6188"/>
    <w:rsid w:val="008B7E9F"/>
    <w:rsid w:val="008C3897"/>
    <w:rsid w:val="008C4192"/>
    <w:rsid w:val="008D4472"/>
    <w:rsid w:val="008E16AC"/>
    <w:rsid w:val="008F7FC5"/>
    <w:rsid w:val="00907D21"/>
    <w:rsid w:val="00912333"/>
    <w:rsid w:val="009168A5"/>
    <w:rsid w:val="009213F3"/>
    <w:rsid w:val="00925555"/>
    <w:rsid w:val="0094225A"/>
    <w:rsid w:val="0095365C"/>
    <w:rsid w:val="009723E3"/>
    <w:rsid w:val="00972BF4"/>
    <w:rsid w:val="00977F5D"/>
    <w:rsid w:val="00983617"/>
    <w:rsid w:val="009864B3"/>
    <w:rsid w:val="009B11C9"/>
    <w:rsid w:val="009C12CE"/>
    <w:rsid w:val="00A01ED0"/>
    <w:rsid w:val="00A04003"/>
    <w:rsid w:val="00A17B97"/>
    <w:rsid w:val="00A23D39"/>
    <w:rsid w:val="00A427CE"/>
    <w:rsid w:val="00A50F97"/>
    <w:rsid w:val="00A55D66"/>
    <w:rsid w:val="00A63B3E"/>
    <w:rsid w:val="00A7382B"/>
    <w:rsid w:val="00A744C3"/>
    <w:rsid w:val="00A85843"/>
    <w:rsid w:val="00A8675C"/>
    <w:rsid w:val="00A9192C"/>
    <w:rsid w:val="00A974C0"/>
    <w:rsid w:val="00AA7D23"/>
    <w:rsid w:val="00AB0FFD"/>
    <w:rsid w:val="00AD655F"/>
    <w:rsid w:val="00AD6EE2"/>
    <w:rsid w:val="00AE4C58"/>
    <w:rsid w:val="00B16FC6"/>
    <w:rsid w:val="00B2064C"/>
    <w:rsid w:val="00B32A89"/>
    <w:rsid w:val="00B36FAF"/>
    <w:rsid w:val="00B43C58"/>
    <w:rsid w:val="00B5189A"/>
    <w:rsid w:val="00B5296A"/>
    <w:rsid w:val="00B5504E"/>
    <w:rsid w:val="00B60BD5"/>
    <w:rsid w:val="00B67E72"/>
    <w:rsid w:val="00B73BDE"/>
    <w:rsid w:val="00B86C49"/>
    <w:rsid w:val="00BA28F0"/>
    <w:rsid w:val="00BB5BE4"/>
    <w:rsid w:val="00BB6CFE"/>
    <w:rsid w:val="00BC5BA0"/>
    <w:rsid w:val="00BC7A33"/>
    <w:rsid w:val="00BD1E28"/>
    <w:rsid w:val="00C01F54"/>
    <w:rsid w:val="00C055F8"/>
    <w:rsid w:val="00C36F0A"/>
    <w:rsid w:val="00C45E7B"/>
    <w:rsid w:val="00C57938"/>
    <w:rsid w:val="00C658B1"/>
    <w:rsid w:val="00C710CC"/>
    <w:rsid w:val="00C903EC"/>
    <w:rsid w:val="00C91FFA"/>
    <w:rsid w:val="00C94010"/>
    <w:rsid w:val="00CA5F20"/>
    <w:rsid w:val="00CD7892"/>
    <w:rsid w:val="00CF7B7D"/>
    <w:rsid w:val="00D0583D"/>
    <w:rsid w:val="00D20A6C"/>
    <w:rsid w:val="00D37BD8"/>
    <w:rsid w:val="00D5207B"/>
    <w:rsid w:val="00D574F7"/>
    <w:rsid w:val="00D60349"/>
    <w:rsid w:val="00DA50F7"/>
    <w:rsid w:val="00DA540F"/>
    <w:rsid w:val="00DB2575"/>
    <w:rsid w:val="00DD275C"/>
    <w:rsid w:val="00DE5AEE"/>
    <w:rsid w:val="00DE7C4A"/>
    <w:rsid w:val="00E03D38"/>
    <w:rsid w:val="00E06455"/>
    <w:rsid w:val="00E353D6"/>
    <w:rsid w:val="00E36470"/>
    <w:rsid w:val="00E74E3A"/>
    <w:rsid w:val="00E80578"/>
    <w:rsid w:val="00E94FEB"/>
    <w:rsid w:val="00E95358"/>
    <w:rsid w:val="00E96EEE"/>
    <w:rsid w:val="00EA0927"/>
    <w:rsid w:val="00EA1E6A"/>
    <w:rsid w:val="00EF7E0A"/>
    <w:rsid w:val="00F0465C"/>
    <w:rsid w:val="00F13A33"/>
    <w:rsid w:val="00F13F68"/>
    <w:rsid w:val="00F71699"/>
    <w:rsid w:val="00F73647"/>
    <w:rsid w:val="00F80B03"/>
    <w:rsid w:val="00F86A64"/>
    <w:rsid w:val="00F9779F"/>
    <w:rsid w:val="00FA5627"/>
    <w:rsid w:val="00FC528D"/>
    <w:rsid w:val="00FE2726"/>
    <w:rsid w:val="00FE3E64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B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B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29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hiamass.gov/behavioral-health-facilities-case-mix-dat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9155-3C2A-48CC-9FD1-0CF14904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2017-08-14T14:28:00Z</dcterms:created>
  <dcterms:modified xsi:type="dcterms:W3CDTF">2017-08-14T14:28:00Z</dcterms:modified>
</cp:coreProperties>
</file>