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B66B" w14:textId="77777777" w:rsidR="00D76220" w:rsidRPr="00FC159F" w:rsidRDefault="00D76220" w:rsidP="00D76220">
      <w:pPr>
        <w:rPr>
          <w:rFonts w:ascii="Times New Roman" w:hAnsi="Times New Roman"/>
          <w:color w:val="000000" w:themeColor="text1"/>
          <w:sz w:val="24"/>
          <w:szCs w:val="24"/>
        </w:rPr>
      </w:pPr>
      <w:r w:rsidRPr="00FC159F">
        <w:rPr>
          <w:rFonts w:ascii="Times New Roman" w:hAnsi="Times New Roman"/>
          <w:color w:val="000000" w:themeColor="text1"/>
          <w:sz w:val="24"/>
          <w:szCs w:val="24"/>
        </w:rPr>
        <w:t>Section</w:t>
      </w:r>
    </w:p>
    <w:p w14:paraId="2BFDB66C" w14:textId="77777777" w:rsidR="00D76220" w:rsidRPr="00FC159F" w:rsidRDefault="0011041C" w:rsidP="00D76220">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D76220" w:rsidRPr="00FC159F">
        <w:rPr>
          <w:rFonts w:ascii="Times New Roman" w:hAnsi="Times New Roman"/>
          <w:color w:val="000000" w:themeColor="text1"/>
          <w:sz w:val="24"/>
          <w:szCs w:val="24"/>
        </w:rPr>
        <w:t xml:space="preserve">.01: </w:t>
      </w:r>
      <w:r w:rsidR="00EA5C3D" w:rsidRPr="00FC159F">
        <w:rPr>
          <w:rFonts w:ascii="Times New Roman" w:hAnsi="Times New Roman"/>
          <w:color w:val="000000" w:themeColor="text1"/>
          <w:sz w:val="24"/>
          <w:szCs w:val="24"/>
        </w:rPr>
        <w:tab/>
      </w:r>
      <w:r w:rsidR="00D76220" w:rsidRPr="00FC159F">
        <w:rPr>
          <w:rFonts w:ascii="Times New Roman" w:hAnsi="Times New Roman"/>
          <w:color w:val="000000" w:themeColor="text1"/>
          <w:sz w:val="24"/>
          <w:szCs w:val="24"/>
        </w:rPr>
        <w:t>General Provisions</w:t>
      </w:r>
    </w:p>
    <w:p w14:paraId="2BFDB66D" w14:textId="77777777" w:rsidR="00D76220" w:rsidRPr="00FC159F" w:rsidRDefault="0011041C" w:rsidP="00D76220">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B84579" w:rsidRPr="00FC159F">
        <w:rPr>
          <w:rFonts w:ascii="Times New Roman" w:hAnsi="Times New Roman"/>
          <w:color w:val="000000" w:themeColor="text1"/>
          <w:sz w:val="24"/>
          <w:szCs w:val="24"/>
        </w:rPr>
        <w:t>.</w:t>
      </w:r>
      <w:r w:rsidR="00D76220" w:rsidRPr="00FC159F">
        <w:rPr>
          <w:rFonts w:ascii="Times New Roman" w:hAnsi="Times New Roman"/>
          <w:color w:val="000000" w:themeColor="text1"/>
          <w:sz w:val="24"/>
          <w:szCs w:val="24"/>
        </w:rPr>
        <w:t xml:space="preserve">02: </w:t>
      </w:r>
      <w:r w:rsidR="00EA5C3D" w:rsidRPr="00FC159F">
        <w:rPr>
          <w:rFonts w:ascii="Times New Roman" w:hAnsi="Times New Roman"/>
          <w:color w:val="000000" w:themeColor="text1"/>
          <w:sz w:val="24"/>
          <w:szCs w:val="24"/>
        </w:rPr>
        <w:tab/>
      </w:r>
      <w:r w:rsidR="00D76220" w:rsidRPr="00FC159F">
        <w:rPr>
          <w:rFonts w:ascii="Times New Roman" w:hAnsi="Times New Roman"/>
          <w:color w:val="000000" w:themeColor="text1"/>
          <w:sz w:val="24"/>
          <w:szCs w:val="24"/>
        </w:rPr>
        <w:t>Definitions</w:t>
      </w:r>
    </w:p>
    <w:p w14:paraId="2BFDB66E" w14:textId="77777777" w:rsidR="00D76220" w:rsidRPr="00FC159F" w:rsidRDefault="0011041C" w:rsidP="00D76220">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7F6FAD" w:rsidRPr="00FC159F">
        <w:rPr>
          <w:rFonts w:ascii="Times New Roman" w:hAnsi="Times New Roman"/>
          <w:color w:val="000000" w:themeColor="text1"/>
          <w:sz w:val="24"/>
          <w:szCs w:val="24"/>
        </w:rPr>
        <w:t>.03</w:t>
      </w:r>
      <w:r w:rsidR="00D76220" w:rsidRPr="00FC159F">
        <w:rPr>
          <w:rFonts w:ascii="Times New Roman" w:hAnsi="Times New Roman"/>
          <w:color w:val="000000" w:themeColor="text1"/>
          <w:sz w:val="24"/>
          <w:szCs w:val="24"/>
        </w:rPr>
        <w:t>:</w:t>
      </w:r>
      <w:r w:rsidR="00A2286F" w:rsidRPr="00FC159F">
        <w:rPr>
          <w:rFonts w:ascii="Times New Roman" w:hAnsi="Times New Roman"/>
          <w:color w:val="000000" w:themeColor="text1"/>
          <w:sz w:val="24"/>
          <w:szCs w:val="24"/>
        </w:rPr>
        <w:t xml:space="preserve"> </w:t>
      </w:r>
      <w:r w:rsidR="00EA5C3D" w:rsidRPr="00FC159F">
        <w:rPr>
          <w:rFonts w:ascii="Times New Roman" w:hAnsi="Times New Roman"/>
          <w:color w:val="000000" w:themeColor="text1"/>
          <w:sz w:val="24"/>
          <w:szCs w:val="24"/>
        </w:rPr>
        <w:tab/>
      </w:r>
      <w:r w:rsidR="00A635A6" w:rsidRPr="00FC159F">
        <w:rPr>
          <w:rFonts w:ascii="Times New Roman" w:hAnsi="Times New Roman"/>
          <w:color w:val="000000" w:themeColor="text1"/>
          <w:sz w:val="24"/>
          <w:szCs w:val="24"/>
        </w:rPr>
        <w:t>Reporting</w:t>
      </w:r>
      <w:r w:rsidR="00631306" w:rsidRPr="00FC159F">
        <w:rPr>
          <w:rFonts w:ascii="Times New Roman" w:hAnsi="Times New Roman"/>
          <w:color w:val="000000" w:themeColor="text1"/>
          <w:sz w:val="24"/>
          <w:szCs w:val="24"/>
        </w:rPr>
        <w:t xml:space="preserve"> Requirements</w:t>
      </w:r>
    </w:p>
    <w:p w14:paraId="2BFDB66F" w14:textId="77777777" w:rsidR="00D76220" w:rsidRPr="00FC159F" w:rsidRDefault="0011041C" w:rsidP="00D76220">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7F6FAD" w:rsidRPr="00FC159F">
        <w:rPr>
          <w:rFonts w:ascii="Times New Roman" w:hAnsi="Times New Roman"/>
          <w:color w:val="000000" w:themeColor="text1"/>
          <w:sz w:val="24"/>
          <w:szCs w:val="24"/>
        </w:rPr>
        <w:t>.04</w:t>
      </w:r>
      <w:r w:rsidR="00D76220" w:rsidRPr="00FC159F">
        <w:rPr>
          <w:rFonts w:ascii="Times New Roman" w:hAnsi="Times New Roman"/>
          <w:color w:val="000000" w:themeColor="text1"/>
          <w:sz w:val="24"/>
          <w:szCs w:val="24"/>
        </w:rPr>
        <w:t>:</w:t>
      </w:r>
      <w:r w:rsidR="00631306" w:rsidRPr="00FC159F">
        <w:rPr>
          <w:rFonts w:ascii="Times New Roman" w:hAnsi="Times New Roman"/>
          <w:color w:val="000000" w:themeColor="text1"/>
          <w:sz w:val="24"/>
          <w:szCs w:val="24"/>
        </w:rPr>
        <w:t xml:space="preserve"> </w:t>
      </w:r>
      <w:r w:rsidR="00EA5C3D" w:rsidRPr="00FC159F">
        <w:rPr>
          <w:rFonts w:ascii="Times New Roman" w:hAnsi="Times New Roman"/>
          <w:color w:val="000000" w:themeColor="text1"/>
          <w:sz w:val="24"/>
          <w:szCs w:val="24"/>
        </w:rPr>
        <w:tab/>
      </w:r>
      <w:r w:rsidR="00B84579" w:rsidRPr="00FC159F">
        <w:rPr>
          <w:rFonts w:ascii="Times New Roman" w:hAnsi="Times New Roman"/>
          <w:color w:val="000000" w:themeColor="text1"/>
          <w:sz w:val="24"/>
          <w:szCs w:val="24"/>
        </w:rPr>
        <w:t>Data Submission Procedures</w:t>
      </w:r>
    </w:p>
    <w:p w14:paraId="2BFDB670" w14:textId="77777777" w:rsidR="006D16F7" w:rsidRPr="00FC159F" w:rsidRDefault="0011041C" w:rsidP="004E72C9">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4E72C9" w:rsidRPr="00FC159F">
        <w:rPr>
          <w:rFonts w:ascii="Times New Roman" w:hAnsi="Times New Roman"/>
          <w:color w:val="000000" w:themeColor="text1"/>
          <w:sz w:val="24"/>
          <w:szCs w:val="24"/>
        </w:rPr>
        <w:t xml:space="preserve">.05: </w:t>
      </w:r>
      <w:r w:rsidR="004E72C9" w:rsidRPr="00FC159F">
        <w:rPr>
          <w:rFonts w:ascii="Times New Roman" w:hAnsi="Times New Roman"/>
          <w:color w:val="000000" w:themeColor="text1"/>
          <w:sz w:val="24"/>
          <w:szCs w:val="24"/>
        </w:rPr>
        <w:tab/>
      </w:r>
      <w:r w:rsidR="006D16F7" w:rsidRPr="00FC159F">
        <w:rPr>
          <w:rFonts w:ascii="Times New Roman" w:hAnsi="Times New Roman"/>
          <w:color w:val="000000" w:themeColor="text1"/>
          <w:sz w:val="24"/>
          <w:szCs w:val="24"/>
        </w:rPr>
        <w:t>Audits</w:t>
      </w:r>
    </w:p>
    <w:p w14:paraId="2BFDB671" w14:textId="77777777" w:rsidR="00D76220" w:rsidRDefault="006D16F7" w:rsidP="004E72C9">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10.06:</w:t>
      </w:r>
      <w:r w:rsidRPr="00FC159F">
        <w:rPr>
          <w:rFonts w:ascii="Times New Roman" w:hAnsi="Times New Roman"/>
          <w:color w:val="000000" w:themeColor="text1"/>
          <w:sz w:val="24"/>
          <w:szCs w:val="24"/>
        </w:rPr>
        <w:tab/>
      </w:r>
      <w:r w:rsidR="004E72C9" w:rsidRPr="00FC159F">
        <w:rPr>
          <w:rFonts w:ascii="Times New Roman" w:hAnsi="Times New Roman"/>
          <w:color w:val="000000" w:themeColor="text1"/>
          <w:sz w:val="24"/>
          <w:szCs w:val="24"/>
        </w:rPr>
        <w:t>Other Provisions</w:t>
      </w:r>
    </w:p>
    <w:p w14:paraId="2BFDB672" w14:textId="77777777" w:rsidR="00C92338" w:rsidRPr="00FC159F" w:rsidRDefault="00C61B1C" w:rsidP="004E72C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10.</w:t>
      </w:r>
      <w:r w:rsidR="00C92338">
        <w:rPr>
          <w:rFonts w:ascii="Times New Roman" w:hAnsi="Times New Roman"/>
          <w:color w:val="000000" w:themeColor="text1"/>
          <w:sz w:val="24"/>
          <w:szCs w:val="24"/>
        </w:rPr>
        <w:t xml:space="preserve">07:  </w:t>
      </w:r>
      <w:r w:rsidR="00C667DF">
        <w:rPr>
          <w:rFonts w:ascii="Times New Roman" w:hAnsi="Times New Roman"/>
          <w:color w:val="000000" w:themeColor="text1"/>
          <w:sz w:val="24"/>
          <w:szCs w:val="24"/>
        </w:rPr>
        <w:t xml:space="preserve">Compliance and </w:t>
      </w:r>
      <w:r w:rsidR="00C92338">
        <w:rPr>
          <w:rFonts w:ascii="Times New Roman" w:hAnsi="Times New Roman"/>
          <w:color w:val="000000" w:themeColor="text1"/>
          <w:sz w:val="24"/>
          <w:szCs w:val="24"/>
        </w:rPr>
        <w:t>Penalties</w:t>
      </w:r>
    </w:p>
    <w:p w14:paraId="2BFDB673" w14:textId="77777777" w:rsidR="002E6FE4" w:rsidRPr="00FC159F" w:rsidRDefault="0011041C" w:rsidP="004E72C9">
      <w:pPr>
        <w:spacing w:after="0" w:line="240" w:lineRule="auto"/>
        <w:rPr>
          <w:rFonts w:ascii="Times New Roman" w:hAnsi="Times New Roman"/>
          <w:color w:val="000000" w:themeColor="text1"/>
          <w:sz w:val="24"/>
          <w:szCs w:val="24"/>
        </w:rPr>
      </w:pPr>
      <w:r w:rsidRPr="00FC159F">
        <w:rPr>
          <w:rFonts w:ascii="Times New Roman" w:hAnsi="Times New Roman"/>
          <w:color w:val="000000" w:themeColor="text1"/>
          <w:sz w:val="24"/>
          <w:szCs w:val="24"/>
        </w:rPr>
        <w:t>10</w:t>
      </w:r>
      <w:r w:rsidR="006D16F7" w:rsidRPr="00FC159F">
        <w:rPr>
          <w:rFonts w:ascii="Times New Roman" w:hAnsi="Times New Roman"/>
          <w:color w:val="000000" w:themeColor="text1"/>
          <w:sz w:val="24"/>
          <w:szCs w:val="24"/>
        </w:rPr>
        <w:t>.0</w:t>
      </w:r>
      <w:r w:rsidR="00C92338">
        <w:rPr>
          <w:rFonts w:ascii="Times New Roman" w:hAnsi="Times New Roman"/>
          <w:color w:val="000000" w:themeColor="text1"/>
          <w:sz w:val="24"/>
          <w:szCs w:val="24"/>
        </w:rPr>
        <w:t>8</w:t>
      </w:r>
      <w:r w:rsidR="006D16F7" w:rsidRPr="00FC159F">
        <w:rPr>
          <w:rFonts w:ascii="Times New Roman" w:hAnsi="Times New Roman"/>
          <w:color w:val="000000" w:themeColor="text1"/>
          <w:sz w:val="24"/>
          <w:szCs w:val="24"/>
        </w:rPr>
        <w:t>:</w:t>
      </w:r>
      <w:r w:rsidR="002E6FE4" w:rsidRPr="00FC159F">
        <w:rPr>
          <w:rFonts w:ascii="Times New Roman" w:hAnsi="Times New Roman"/>
          <w:color w:val="000000" w:themeColor="text1"/>
          <w:sz w:val="24"/>
          <w:szCs w:val="24"/>
        </w:rPr>
        <w:tab/>
        <w:t>Severability</w:t>
      </w:r>
    </w:p>
    <w:p w14:paraId="2BFDB674" w14:textId="77777777" w:rsidR="004E72C9" w:rsidRPr="00FC159F" w:rsidRDefault="004E72C9" w:rsidP="004E72C9">
      <w:pPr>
        <w:spacing w:after="0" w:line="240" w:lineRule="auto"/>
        <w:rPr>
          <w:rFonts w:ascii="Times New Roman" w:hAnsi="Times New Roman"/>
          <w:color w:val="000000" w:themeColor="text1"/>
          <w:sz w:val="24"/>
          <w:szCs w:val="24"/>
        </w:rPr>
      </w:pPr>
    </w:p>
    <w:p w14:paraId="2BFDB675" w14:textId="77777777" w:rsidR="00D76220" w:rsidRPr="00FC159F" w:rsidRDefault="0011041C" w:rsidP="00D76220">
      <w:pPr>
        <w:rPr>
          <w:rFonts w:ascii="Times New Roman" w:hAnsi="Times New Roman"/>
          <w:color w:val="000000" w:themeColor="text1"/>
          <w:sz w:val="24"/>
          <w:szCs w:val="24"/>
          <w:u w:val="single"/>
        </w:rPr>
      </w:pPr>
      <w:r w:rsidRPr="00FC159F">
        <w:rPr>
          <w:rFonts w:ascii="Times New Roman" w:hAnsi="Times New Roman"/>
          <w:color w:val="000000" w:themeColor="text1"/>
          <w:sz w:val="24"/>
          <w:szCs w:val="24"/>
          <w:u w:val="single"/>
        </w:rPr>
        <w:t>10</w:t>
      </w:r>
      <w:r w:rsidR="00D76220" w:rsidRPr="00FC159F">
        <w:rPr>
          <w:rFonts w:ascii="Times New Roman" w:hAnsi="Times New Roman"/>
          <w:color w:val="000000" w:themeColor="text1"/>
          <w:sz w:val="24"/>
          <w:szCs w:val="24"/>
          <w:u w:val="single"/>
        </w:rPr>
        <w:t>.01</w:t>
      </w:r>
      <w:r w:rsidR="007E6A4D" w:rsidRPr="00FC159F">
        <w:rPr>
          <w:rFonts w:ascii="Times New Roman" w:hAnsi="Times New Roman"/>
          <w:color w:val="000000" w:themeColor="text1"/>
          <w:sz w:val="24"/>
          <w:szCs w:val="24"/>
          <w:u w:val="single"/>
        </w:rPr>
        <w:t>:</w:t>
      </w:r>
      <w:r w:rsidR="007E6A4D" w:rsidRPr="00FC159F">
        <w:rPr>
          <w:rFonts w:ascii="Times New Roman" w:hAnsi="Times New Roman"/>
          <w:color w:val="000000" w:themeColor="text1"/>
          <w:sz w:val="24"/>
          <w:szCs w:val="24"/>
          <w:u w:val="single"/>
        </w:rPr>
        <w:tab/>
      </w:r>
      <w:r w:rsidR="00D76220" w:rsidRPr="00FC159F">
        <w:rPr>
          <w:rFonts w:ascii="Times New Roman" w:hAnsi="Times New Roman"/>
          <w:color w:val="000000" w:themeColor="text1"/>
          <w:sz w:val="24"/>
          <w:szCs w:val="24"/>
          <w:u w:val="single"/>
        </w:rPr>
        <w:t>General Provisions</w:t>
      </w:r>
    </w:p>
    <w:p w14:paraId="2BFDB676" w14:textId="77777777" w:rsidR="00656656" w:rsidRPr="00FC159F" w:rsidRDefault="00D76220" w:rsidP="006A0C05">
      <w:pPr>
        <w:ind w:left="720"/>
        <w:rPr>
          <w:rFonts w:ascii="Times New Roman" w:hAnsi="Times New Roman"/>
          <w:color w:val="000000" w:themeColor="text1"/>
          <w:sz w:val="24"/>
          <w:szCs w:val="24"/>
          <w:u w:val="single"/>
        </w:rPr>
      </w:pPr>
      <w:r w:rsidRPr="00FC159F">
        <w:rPr>
          <w:rFonts w:ascii="Times New Roman" w:hAnsi="Times New Roman"/>
          <w:color w:val="000000" w:themeColor="text1"/>
          <w:sz w:val="24"/>
          <w:szCs w:val="24"/>
          <w:u w:val="single"/>
        </w:rPr>
        <w:t>Scope and Purpose</w:t>
      </w:r>
      <w:r w:rsidR="007E6A4D" w:rsidRPr="00FC159F">
        <w:rPr>
          <w:rFonts w:ascii="Times New Roman" w:hAnsi="Times New Roman"/>
          <w:color w:val="000000" w:themeColor="text1"/>
          <w:sz w:val="24"/>
          <w:szCs w:val="24"/>
        </w:rPr>
        <w:t>.</w:t>
      </w:r>
      <w:r w:rsidRPr="00FC159F">
        <w:rPr>
          <w:rFonts w:ascii="Times New Roman" w:hAnsi="Times New Roman"/>
          <w:color w:val="000000" w:themeColor="text1"/>
          <w:sz w:val="24"/>
          <w:szCs w:val="24"/>
        </w:rPr>
        <w:t xml:space="preserve"> </w:t>
      </w:r>
      <w:r w:rsidR="00AA3672" w:rsidRPr="00FC159F">
        <w:rPr>
          <w:rFonts w:ascii="Times New Roman" w:hAnsi="Times New Roman"/>
          <w:color w:val="000000" w:themeColor="text1"/>
          <w:sz w:val="24"/>
          <w:szCs w:val="24"/>
        </w:rPr>
        <w:t xml:space="preserve">957 CMR </w:t>
      </w:r>
      <w:r w:rsidR="001F7E64" w:rsidRPr="00FC159F">
        <w:rPr>
          <w:rFonts w:ascii="Times New Roman" w:hAnsi="Times New Roman"/>
          <w:color w:val="000000" w:themeColor="text1"/>
          <w:sz w:val="24"/>
          <w:szCs w:val="24"/>
        </w:rPr>
        <w:t>10</w:t>
      </w:r>
      <w:r w:rsidR="002E6FE4" w:rsidRPr="00FC159F">
        <w:rPr>
          <w:rFonts w:ascii="Times New Roman" w:hAnsi="Times New Roman"/>
          <w:color w:val="000000" w:themeColor="text1"/>
          <w:sz w:val="24"/>
          <w:szCs w:val="24"/>
        </w:rPr>
        <w:t>.00</w:t>
      </w:r>
      <w:r w:rsidR="00AA3672" w:rsidRPr="00FC159F">
        <w:rPr>
          <w:rFonts w:ascii="Times New Roman" w:hAnsi="Times New Roman"/>
          <w:color w:val="000000" w:themeColor="text1"/>
          <w:sz w:val="24"/>
          <w:szCs w:val="24"/>
        </w:rPr>
        <w:t xml:space="preserve"> governs the reporting requirements for </w:t>
      </w:r>
      <w:r w:rsidR="00E67AF9">
        <w:rPr>
          <w:rFonts w:ascii="Times New Roman" w:hAnsi="Times New Roman"/>
          <w:color w:val="000000" w:themeColor="text1"/>
          <w:sz w:val="24"/>
          <w:szCs w:val="24"/>
        </w:rPr>
        <w:t xml:space="preserve">Private </w:t>
      </w:r>
      <w:r w:rsidR="00AA3672" w:rsidRPr="00FC159F">
        <w:rPr>
          <w:rFonts w:ascii="Times New Roman" w:hAnsi="Times New Roman"/>
          <w:color w:val="000000" w:themeColor="text1"/>
          <w:sz w:val="24"/>
          <w:szCs w:val="24"/>
        </w:rPr>
        <w:t xml:space="preserve">Health Care Payers to submit </w:t>
      </w:r>
      <w:r w:rsidR="0011041C" w:rsidRPr="00FC159F">
        <w:rPr>
          <w:rFonts w:ascii="Times New Roman" w:hAnsi="Times New Roman"/>
          <w:color w:val="000000" w:themeColor="text1"/>
          <w:sz w:val="24"/>
          <w:szCs w:val="24"/>
        </w:rPr>
        <w:t xml:space="preserve">health care </w:t>
      </w:r>
      <w:r w:rsidR="00AA3672" w:rsidRPr="00FC159F">
        <w:rPr>
          <w:rFonts w:ascii="Times New Roman" w:hAnsi="Times New Roman"/>
          <w:color w:val="000000" w:themeColor="text1"/>
          <w:sz w:val="24"/>
          <w:szCs w:val="24"/>
        </w:rPr>
        <w:t xml:space="preserve">data and information to the </w:t>
      </w:r>
      <w:r w:rsidR="00D366C8" w:rsidRPr="00FC159F">
        <w:rPr>
          <w:rFonts w:ascii="Times New Roman" w:hAnsi="Times New Roman"/>
          <w:color w:val="000000" w:themeColor="text1"/>
          <w:sz w:val="24"/>
          <w:szCs w:val="24"/>
        </w:rPr>
        <w:t>Center</w:t>
      </w:r>
      <w:r w:rsidR="00AA3672" w:rsidRPr="00FC159F">
        <w:rPr>
          <w:rFonts w:ascii="Times New Roman" w:hAnsi="Times New Roman"/>
          <w:color w:val="000000" w:themeColor="text1"/>
          <w:sz w:val="24"/>
          <w:szCs w:val="24"/>
        </w:rPr>
        <w:t xml:space="preserve"> </w:t>
      </w:r>
      <w:r w:rsidR="00913F39">
        <w:rPr>
          <w:rFonts w:ascii="Times New Roman" w:hAnsi="Times New Roman"/>
          <w:color w:val="000000" w:themeColor="text1"/>
          <w:sz w:val="24"/>
          <w:szCs w:val="24"/>
        </w:rPr>
        <w:t xml:space="preserve">for Health Information and Analysis </w:t>
      </w:r>
      <w:r w:rsidR="00AA3672" w:rsidRPr="00FC159F">
        <w:rPr>
          <w:rFonts w:ascii="Times New Roman" w:hAnsi="Times New Roman"/>
          <w:color w:val="000000" w:themeColor="text1"/>
          <w:sz w:val="24"/>
          <w:szCs w:val="24"/>
        </w:rPr>
        <w:t xml:space="preserve">in accordance with M.G.L. c. </w:t>
      </w:r>
      <w:r w:rsidR="00BB24A8" w:rsidRPr="00FC159F">
        <w:rPr>
          <w:rFonts w:ascii="Times New Roman" w:hAnsi="Times New Roman"/>
          <w:color w:val="000000" w:themeColor="text1"/>
          <w:sz w:val="24"/>
          <w:szCs w:val="24"/>
        </w:rPr>
        <w:t>12C</w:t>
      </w:r>
      <w:r w:rsidR="00AA3672" w:rsidRPr="00FC159F">
        <w:rPr>
          <w:rFonts w:ascii="Times New Roman" w:hAnsi="Times New Roman"/>
          <w:color w:val="000000" w:themeColor="text1"/>
          <w:sz w:val="24"/>
          <w:szCs w:val="24"/>
        </w:rPr>
        <w:t xml:space="preserve">. </w:t>
      </w:r>
    </w:p>
    <w:p w14:paraId="2BFDB677" w14:textId="77777777" w:rsidR="007E6A4D" w:rsidRPr="00FC159F" w:rsidRDefault="0011041C" w:rsidP="007E6A4D">
      <w:pPr>
        <w:rPr>
          <w:rFonts w:ascii="Times New Roman" w:hAnsi="Times New Roman"/>
          <w:color w:val="000000" w:themeColor="text1"/>
          <w:sz w:val="24"/>
          <w:szCs w:val="24"/>
          <w:u w:val="single"/>
        </w:rPr>
      </w:pPr>
      <w:r w:rsidRPr="00FC159F">
        <w:rPr>
          <w:rFonts w:ascii="Times New Roman" w:hAnsi="Times New Roman"/>
          <w:color w:val="000000" w:themeColor="text1"/>
          <w:sz w:val="24"/>
          <w:szCs w:val="24"/>
          <w:u w:val="single"/>
        </w:rPr>
        <w:t>10</w:t>
      </w:r>
      <w:r w:rsidR="00F8538E" w:rsidRPr="00FC159F">
        <w:rPr>
          <w:rFonts w:ascii="Times New Roman" w:hAnsi="Times New Roman"/>
          <w:color w:val="000000" w:themeColor="text1"/>
          <w:sz w:val="24"/>
          <w:szCs w:val="24"/>
          <w:u w:val="single"/>
        </w:rPr>
        <w:t>.02:</w:t>
      </w:r>
      <w:r w:rsidR="00F8538E" w:rsidRPr="00FC159F">
        <w:rPr>
          <w:rFonts w:ascii="Times New Roman" w:hAnsi="Times New Roman"/>
          <w:color w:val="000000" w:themeColor="text1"/>
          <w:sz w:val="24"/>
          <w:szCs w:val="24"/>
          <w:u w:val="single"/>
        </w:rPr>
        <w:tab/>
      </w:r>
      <w:r w:rsidR="007E6A4D" w:rsidRPr="00FC159F">
        <w:rPr>
          <w:rFonts w:ascii="Times New Roman" w:hAnsi="Times New Roman"/>
          <w:color w:val="000000" w:themeColor="text1"/>
          <w:sz w:val="24"/>
          <w:szCs w:val="24"/>
          <w:u w:val="single"/>
        </w:rPr>
        <w:t>Definitions</w:t>
      </w:r>
    </w:p>
    <w:p w14:paraId="2BFDB678" w14:textId="77777777" w:rsidR="00E63D4B" w:rsidRPr="00FC159F" w:rsidRDefault="002A203A">
      <w:pPr>
        <w:spacing w:after="0"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00E63D4B" w:rsidRPr="00FC159F">
        <w:rPr>
          <w:rFonts w:ascii="Times New Roman" w:eastAsia="Times New Roman" w:hAnsi="Times New Roman"/>
          <w:color w:val="000000" w:themeColor="text1"/>
          <w:sz w:val="24"/>
          <w:szCs w:val="24"/>
        </w:rPr>
        <w:t xml:space="preserve">All defined terms in 957 CMR </w:t>
      </w:r>
      <w:r w:rsidR="001F7E64" w:rsidRPr="00FC159F">
        <w:rPr>
          <w:rFonts w:ascii="Times New Roman" w:eastAsia="Times New Roman" w:hAnsi="Times New Roman"/>
          <w:color w:val="000000" w:themeColor="text1"/>
          <w:sz w:val="24"/>
          <w:szCs w:val="24"/>
        </w:rPr>
        <w:t>10</w:t>
      </w:r>
      <w:r w:rsidR="007F6FAD" w:rsidRPr="00FC159F">
        <w:rPr>
          <w:rFonts w:ascii="Times New Roman" w:eastAsia="Times New Roman" w:hAnsi="Times New Roman"/>
          <w:color w:val="000000" w:themeColor="text1"/>
          <w:sz w:val="24"/>
          <w:szCs w:val="24"/>
        </w:rPr>
        <w:t>.</w:t>
      </w:r>
      <w:r w:rsidR="001F7E64" w:rsidRPr="00FC159F">
        <w:rPr>
          <w:rFonts w:ascii="Times New Roman" w:eastAsia="Times New Roman" w:hAnsi="Times New Roman"/>
          <w:color w:val="000000" w:themeColor="text1"/>
          <w:sz w:val="24"/>
          <w:szCs w:val="24"/>
        </w:rPr>
        <w:t>00</w:t>
      </w:r>
      <w:r w:rsidR="00E63D4B" w:rsidRPr="00FC159F">
        <w:rPr>
          <w:rFonts w:ascii="Times New Roman" w:eastAsia="Times New Roman" w:hAnsi="Times New Roman"/>
          <w:color w:val="000000" w:themeColor="text1"/>
          <w:sz w:val="24"/>
          <w:szCs w:val="24"/>
        </w:rPr>
        <w:t xml:space="preserve"> are capitalized. As used in 957 CMR </w:t>
      </w:r>
      <w:r w:rsidR="001F7E64" w:rsidRPr="00FC159F">
        <w:rPr>
          <w:rFonts w:ascii="Times New Roman" w:eastAsia="Times New Roman" w:hAnsi="Times New Roman"/>
          <w:color w:val="000000" w:themeColor="text1"/>
          <w:sz w:val="24"/>
          <w:szCs w:val="24"/>
        </w:rPr>
        <w:t>10</w:t>
      </w:r>
      <w:r w:rsidR="007F6FAD" w:rsidRPr="00FC159F">
        <w:rPr>
          <w:rFonts w:ascii="Times New Roman" w:eastAsia="Times New Roman" w:hAnsi="Times New Roman"/>
          <w:color w:val="000000" w:themeColor="text1"/>
          <w:sz w:val="24"/>
          <w:szCs w:val="24"/>
        </w:rPr>
        <w:t>.</w:t>
      </w:r>
      <w:r w:rsidR="001F7E64" w:rsidRPr="00FC159F">
        <w:rPr>
          <w:rFonts w:ascii="Times New Roman" w:eastAsia="Times New Roman" w:hAnsi="Times New Roman"/>
          <w:color w:val="000000" w:themeColor="text1"/>
          <w:sz w:val="24"/>
          <w:szCs w:val="24"/>
        </w:rPr>
        <w:t>00</w:t>
      </w:r>
      <w:r w:rsidR="00E63D4B" w:rsidRPr="00FC159F">
        <w:rPr>
          <w:rFonts w:ascii="Times New Roman" w:eastAsia="Times New Roman" w:hAnsi="Times New Roman"/>
          <w:color w:val="000000" w:themeColor="text1"/>
          <w:sz w:val="24"/>
          <w:szCs w:val="24"/>
        </w:rPr>
        <w:t xml:space="preserve">, unless the context otherwise requires, terms have the following meanings:  </w:t>
      </w:r>
    </w:p>
    <w:p w14:paraId="6C590FF5" w14:textId="77777777" w:rsidR="003A6362" w:rsidRPr="003A6362" w:rsidRDefault="003A6362" w:rsidP="003A6362">
      <w:pPr>
        <w:spacing w:after="0" w:line="240" w:lineRule="auto"/>
        <w:rPr>
          <w:rFonts w:ascii="Times New Roman" w:eastAsia="Times New Roman" w:hAnsi="Times New Roman"/>
          <w:color w:val="000000" w:themeColor="text1"/>
          <w:sz w:val="24"/>
          <w:szCs w:val="24"/>
        </w:rPr>
      </w:pPr>
    </w:p>
    <w:p w14:paraId="2FC62051" w14:textId="7D8FEFFD" w:rsidR="003A6362" w:rsidRPr="003A6362" w:rsidRDefault="003A6362" w:rsidP="00F906AB">
      <w:pPr>
        <w:spacing w:after="0" w:line="240" w:lineRule="auto"/>
        <w:ind w:left="720"/>
        <w:rPr>
          <w:rFonts w:ascii="Times New Roman" w:eastAsia="Times New Roman" w:hAnsi="Times New Roman"/>
          <w:color w:val="000000" w:themeColor="text1"/>
          <w:sz w:val="24"/>
          <w:szCs w:val="24"/>
          <w:u w:val="single"/>
        </w:rPr>
      </w:pPr>
      <w:r w:rsidRPr="003A6362">
        <w:rPr>
          <w:rFonts w:ascii="Times New Roman" w:eastAsia="Times New Roman" w:hAnsi="Times New Roman"/>
          <w:color w:val="000000" w:themeColor="text1"/>
          <w:sz w:val="24"/>
          <w:szCs w:val="24"/>
          <w:u w:val="single"/>
        </w:rPr>
        <w:t xml:space="preserve">Adjudicatory </w:t>
      </w:r>
      <w:r w:rsidR="00417E37">
        <w:rPr>
          <w:rFonts w:ascii="Times New Roman" w:eastAsia="Times New Roman" w:hAnsi="Times New Roman"/>
          <w:color w:val="000000" w:themeColor="text1"/>
          <w:sz w:val="24"/>
          <w:szCs w:val="24"/>
          <w:u w:val="single"/>
        </w:rPr>
        <w:t>P</w:t>
      </w:r>
      <w:r w:rsidRPr="003A6362">
        <w:rPr>
          <w:rFonts w:ascii="Times New Roman" w:eastAsia="Times New Roman" w:hAnsi="Times New Roman"/>
          <w:color w:val="000000" w:themeColor="text1"/>
          <w:sz w:val="24"/>
          <w:szCs w:val="24"/>
          <w:u w:val="single"/>
        </w:rPr>
        <w:t>roceeding</w:t>
      </w:r>
      <w:r w:rsidRPr="003A6362">
        <w:rPr>
          <w:rFonts w:ascii="Times New Roman" w:eastAsia="Times New Roman" w:hAnsi="Times New Roman"/>
          <w:color w:val="000000" w:themeColor="text1"/>
          <w:sz w:val="24"/>
          <w:szCs w:val="24"/>
        </w:rPr>
        <w:t>. A proceeding before an agency in which the legal rights, duties or privileges of specifically named persons or entities are required by constitutional right or by any provision of the General Laws to be determined after an opportunity for an agency hearing.</w:t>
      </w:r>
    </w:p>
    <w:p w14:paraId="18DFE17C" w14:textId="77777777" w:rsidR="003A6362" w:rsidRPr="00FC159F" w:rsidRDefault="003A6362" w:rsidP="00E63D4B">
      <w:pPr>
        <w:spacing w:after="0" w:line="240" w:lineRule="auto"/>
        <w:rPr>
          <w:rFonts w:ascii="Times New Roman" w:eastAsia="Times New Roman" w:hAnsi="Times New Roman"/>
          <w:color w:val="000000" w:themeColor="text1"/>
          <w:sz w:val="24"/>
          <w:szCs w:val="24"/>
        </w:rPr>
      </w:pPr>
    </w:p>
    <w:p w14:paraId="2BFDB67A" w14:textId="77777777" w:rsidR="005847C6" w:rsidRDefault="005847C6" w:rsidP="00CC7F6E">
      <w:pPr>
        <w:spacing w:after="0" w:line="240" w:lineRule="auto"/>
        <w:ind w:left="720"/>
        <w:rPr>
          <w:rFonts w:ascii="Times New Roman" w:eastAsia="Times New Roman" w:hAnsi="Times New Roman"/>
          <w:color w:val="000000" w:themeColor="text1"/>
          <w:sz w:val="24"/>
          <w:szCs w:val="24"/>
        </w:rPr>
      </w:pPr>
      <w:r w:rsidRPr="00FC159F">
        <w:rPr>
          <w:rFonts w:ascii="Times New Roman" w:eastAsia="Times New Roman" w:hAnsi="Times New Roman"/>
          <w:color w:val="000000" w:themeColor="text1"/>
          <w:sz w:val="24"/>
          <w:szCs w:val="24"/>
          <w:u w:val="single"/>
        </w:rPr>
        <w:t>Administrative Service Fees</w:t>
      </w:r>
      <w:r w:rsidRPr="00131F92">
        <w:rPr>
          <w:rFonts w:ascii="Times New Roman" w:eastAsia="Times New Roman" w:hAnsi="Times New Roman"/>
          <w:color w:val="000000" w:themeColor="text1"/>
          <w:sz w:val="24"/>
          <w:szCs w:val="24"/>
        </w:rPr>
        <w:t>.</w:t>
      </w:r>
      <w:r w:rsidRPr="00FC159F">
        <w:rPr>
          <w:rFonts w:ascii="Times New Roman" w:eastAsia="Times New Roman" w:hAnsi="Times New Roman"/>
          <w:color w:val="000000" w:themeColor="text1"/>
          <w:sz w:val="24"/>
          <w:szCs w:val="24"/>
        </w:rPr>
        <w:t xml:space="preserve"> The fees earned by a Payer for the full administration of a </w:t>
      </w:r>
      <w:r w:rsidR="00934B22">
        <w:rPr>
          <w:rFonts w:ascii="Times New Roman" w:eastAsia="Times New Roman" w:hAnsi="Times New Roman"/>
          <w:color w:val="000000" w:themeColor="text1"/>
          <w:sz w:val="24"/>
          <w:szCs w:val="24"/>
        </w:rPr>
        <w:t>Self-Insured Health Plan</w:t>
      </w:r>
      <w:r w:rsidRPr="00A25CAD">
        <w:rPr>
          <w:rFonts w:ascii="Times New Roman" w:eastAsia="Times New Roman" w:hAnsi="Times New Roman"/>
          <w:color w:val="000000" w:themeColor="text1"/>
          <w:sz w:val="24"/>
          <w:szCs w:val="24"/>
        </w:rPr>
        <w:t>, excluding any premiums collected for stop-loss coverage.</w:t>
      </w:r>
    </w:p>
    <w:p w14:paraId="2BFDB67B" w14:textId="77777777" w:rsidR="007078B0" w:rsidRDefault="007078B0" w:rsidP="00CC7F6E">
      <w:pPr>
        <w:spacing w:after="0" w:line="240" w:lineRule="auto"/>
        <w:ind w:left="720"/>
        <w:rPr>
          <w:rFonts w:ascii="Times New Roman" w:eastAsia="Times New Roman" w:hAnsi="Times New Roman"/>
          <w:color w:val="000000" w:themeColor="text1"/>
          <w:sz w:val="24"/>
          <w:szCs w:val="24"/>
        </w:rPr>
      </w:pPr>
    </w:p>
    <w:p w14:paraId="2BFDB67C" w14:textId="77777777" w:rsidR="007078B0" w:rsidRPr="00A25CAD" w:rsidRDefault="007078B0" w:rsidP="00453DC1">
      <w:pPr>
        <w:spacing w:after="0" w:line="240" w:lineRule="auto"/>
        <w:ind w:left="72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u w:val="single"/>
        </w:rPr>
        <w:t>Affiliated Payers</w:t>
      </w:r>
      <w:r>
        <w:rPr>
          <w:rFonts w:ascii="Times New Roman" w:eastAsia="Times New Roman" w:hAnsi="Times New Roman"/>
          <w:color w:val="000000" w:themeColor="text1"/>
          <w:sz w:val="24"/>
          <w:szCs w:val="24"/>
        </w:rPr>
        <w:t xml:space="preserve">. Any two or more Payers </w:t>
      </w:r>
      <w:r w:rsidRPr="00CA2DC0">
        <w:rPr>
          <w:rFonts w:ascii="Times New Roman" w:eastAsia="Times New Roman" w:hAnsi="Times New Roman"/>
          <w:color w:val="000000" w:themeColor="text1"/>
          <w:sz w:val="24"/>
          <w:szCs w:val="24"/>
        </w:rPr>
        <w:t>w</w:t>
      </w:r>
      <w:r>
        <w:rPr>
          <w:rFonts w:ascii="Times New Roman" w:eastAsia="Times New Roman" w:hAnsi="Times New Roman"/>
          <w:color w:val="000000" w:themeColor="text1"/>
          <w:sz w:val="24"/>
          <w:szCs w:val="24"/>
        </w:rPr>
        <w:t xml:space="preserve">hich, directly or indirectly, are in control of one another, are controlled by each other, or are </w:t>
      </w:r>
      <w:r w:rsidRPr="00CA2DC0">
        <w:rPr>
          <w:rFonts w:ascii="Times New Roman" w:eastAsia="Times New Roman" w:hAnsi="Times New Roman"/>
          <w:color w:val="000000" w:themeColor="text1"/>
          <w:sz w:val="24"/>
          <w:szCs w:val="24"/>
        </w:rPr>
        <w:t>under common control</w:t>
      </w:r>
      <w:r>
        <w:rPr>
          <w:rFonts w:ascii="Times New Roman" w:eastAsia="Times New Roman" w:hAnsi="Times New Roman"/>
          <w:color w:val="000000" w:themeColor="text1"/>
          <w:sz w:val="24"/>
          <w:szCs w:val="24"/>
        </w:rPr>
        <w:t>.</w:t>
      </w:r>
    </w:p>
    <w:p w14:paraId="2BFDB67D" w14:textId="77777777" w:rsidR="005847C6" w:rsidRPr="00A25CAD" w:rsidRDefault="005847C6" w:rsidP="00E63D4B">
      <w:pPr>
        <w:spacing w:after="0" w:line="240" w:lineRule="auto"/>
        <w:rPr>
          <w:rFonts w:ascii="Times New Roman" w:eastAsia="Times New Roman" w:hAnsi="Times New Roman"/>
          <w:color w:val="000000" w:themeColor="text1"/>
          <w:sz w:val="24"/>
          <w:szCs w:val="24"/>
          <w:u w:val="single"/>
        </w:rPr>
      </w:pPr>
    </w:p>
    <w:p w14:paraId="2BFDB67E" w14:textId="77777777" w:rsidR="001458B6" w:rsidRPr="00A25CAD" w:rsidRDefault="001458B6" w:rsidP="00CC7F6E">
      <w:pPr>
        <w:spacing w:after="0" w:line="240" w:lineRule="auto"/>
        <w:ind w:left="720"/>
        <w:rPr>
          <w:rFonts w:ascii="Times New Roman" w:eastAsia="Times New Roman" w:hAnsi="Times New Roman"/>
          <w:color w:val="000000" w:themeColor="text1"/>
          <w:sz w:val="24"/>
          <w:szCs w:val="24"/>
        </w:rPr>
      </w:pPr>
      <w:r w:rsidRPr="00A25CAD">
        <w:rPr>
          <w:rFonts w:ascii="Times New Roman" w:eastAsia="Times New Roman" w:hAnsi="Times New Roman"/>
          <w:color w:val="000000" w:themeColor="text1"/>
          <w:sz w:val="24"/>
          <w:szCs w:val="24"/>
          <w:u w:val="single"/>
        </w:rPr>
        <w:t>Allowed Claims</w:t>
      </w:r>
      <w:r w:rsidRPr="00131F92">
        <w:rPr>
          <w:rFonts w:ascii="Times New Roman" w:eastAsia="Times New Roman" w:hAnsi="Times New Roman"/>
          <w:color w:val="000000" w:themeColor="text1"/>
          <w:sz w:val="24"/>
          <w:szCs w:val="24"/>
        </w:rPr>
        <w:t>.</w:t>
      </w:r>
      <w:r w:rsidRPr="00A25CAD">
        <w:rPr>
          <w:rFonts w:ascii="Times New Roman" w:eastAsia="Times New Roman" w:hAnsi="Times New Roman"/>
          <w:color w:val="000000" w:themeColor="text1"/>
          <w:sz w:val="24"/>
          <w:szCs w:val="24"/>
        </w:rPr>
        <w:t xml:space="preserve"> The total cost of claims after the provide</w:t>
      </w:r>
      <w:r w:rsidR="00D373F7" w:rsidRPr="00A25CAD">
        <w:rPr>
          <w:rFonts w:ascii="Times New Roman" w:eastAsia="Times New Roman" w:hAnsi="Times New Roman"/>
          <w:color w:val="000000" w:themeColor="text1"/>
          <w:sz w:val="24"/>
          <w:szCs w:val="24"/>
        </w:rPr>
        <w:t xml:space="preserve">r or network discount, if any. </w:t>
      </w:r>
      <w:r w:rsidRPr="00A25CAD">
        <w:rPr>
          <w:rFonts w:ascii="Times New Roman" w:eastAsia="Times New Roman" w:hAnsi="Times New Roman"/>
          <w:color w:val="000000" w:themeColor="text1"/>
          <w:sz w:val="24"/>
          <w:szCs w:val="24"/>
        </w:rPr>
        <w:t>Allowed Claims are equal to Incurred Claims pl</w:t>
      </w:r>
      <w:r w:rsidR="00201CAA" w:rsidRPr="00A25CAD">
        <w:rPr>
          <w:rFonts w:ascii="Times New Roman" w:eastAsia="Times New Roman" w:hAnsi="Times New Roman"/>
          <w:color w:val="000000" w:themeColor="text1"/>
          <w:sz w:val="24"/>
          <w:szCs w:val="24"/>
        </w:rPr>
        <w:t xml:space="preserve">us member cost sharing and </w:t>
      </w:r>
      <w:r w:rsidRPr="00A25CAD">
        <w:rPr>
          <w:rFonts w:ascii="Times New Roman" w:eastAsia="Times New Roman" w:hAnsi="Times New Roman"/>
          <w:color w:val="000000" w:themeColor="text1"/>
          <w:sz w:val="24"/>
          <w:szCs w:val="24"/>
        </w:rPr>
        <w:t>include medical claims, drug claims, capitation payments, and all other payments to providers, including those paid outside of the claims system. This value include</w:t>
      </w:r>
      <w:r w:rsidR="009157DB">
        <w:rPr>
          <w:rFonts w:ascii="Times New Roman" w:eastAsia="Times New Roman" w:hAnsi="Times New Roman"/>
          <w:color w:val="000000" w:themeColor="text1"/>
          <w:sz w:val="24"/>
          <w:szCs w:val="24"/>
        </w:rPr>
        <w:t>s</w:t>
      </w:r>
      <w:r w:rsidR="00A25CAD">
        <w:rPr>
          <w:rFonts w:ascii="Times New Roman" w:eastAsia="Times New Roman" w:hAnsi="Times New Roman"/>
          <w:color w:val="000000" w:themeColor="text1"/>
          <w:sz w:val="24"/>
          <w:szCs w:val="24"/>
        </w:rPr>
        <w:t xml:space="preserve"> incurred but not reported (IBNR)</w:t>
      </w:r>
      <w:r w:rsidRPr="00A25CAD">
        <w:rPr>
          <w:rFonts w:ascii="Times New Roman" w:eastAsia="Times New Roman" w:hAnsi="Times New Roman"/>
          <w:color w:val="000000" w:themeColor="text1"/>
          <w:sz w:val="24"/>
          <w:szCs w:val="24"/>
        </w:rPr>
        <w:t xml:space="preserve"> estimates </w:t>
      </w:r>
      <w:r w:rsidR="009157DB">
        <w:rPr>
          <w:rFonts w:ascii="Times New Roman" w:eastAsia="Times New Roman" w:hAnsi="Times New Roman"/>
          <w:color w:val="000000" w:themeColor="text1"/>
          <w:sz w:val="24"/>
          <w:szCs w:val="24"/>
        </w:rPr>
        <w:t xml:space="preserve">resulting in </w:t>
      </w:r>
      <w:r w:rsidR="00140CF6">
        <w:rPr>
          <w:rFonts w:ascii="Times New Roman" w:eastAsia="Times New Roman" w:hAnsi="Times New Roman"/>
          <w:color w:val="000000" w:themeColor="text1"/>
          <w:sz w:val="24"/>
          <w:szCs w:val="24"/>
        </w:rPr>
        <w:t>approximated</w:t>
      </w:r>
      <w:r w:rsidR="009157DB" w:rsidRPr="00A25CAD">
        <w:rPr>
          <w:rFonts w:ascii="Times New Roman" w:eastAsia="Times New Roman" w:hAnsi="Times New Roman"/>
          <w:color w:val="000000" w:themeColor="text1"/>
          <w:sz w:val="24"/>
          <w:szCs w:val="24"/>
        </w:rPr>
        <w:t xml:space="preserve"> </w:t>
      </w:r>
      <w:r w:rsidRPr="00A25CAD">
        <w:rPr>
          <w:rFonts w:ascii="Times New Roman" w:eastAsia="Times New Roman" w:hAnsi="Times New Roman"/>
          <w:color w:val="000000" w:themeColor="text1"/>
          <w:sz w:val="24"/>
          <w:szCs w:val="24"/>
        </w:rPr>
        <w:t>completed claims for periods that are not yet considered complete</w:t>
      </w:r>
      <w:r w:rsidR="00C965F7" w:rsidRPr="00A25CAD">
        <w:rPr>
          <w:rFonts w:ascii="Times New Roman" w:eastAsia="Times New Roman" w:hAnsi="Times New Roman"/>
          <w:color w:val="000000" w:themeColor="text1"/>
          <w:sz w:val="24"/>
          <w:szCs w:val="24"/>
        </w:rPr>
        <w:t>.</w:t>
      </w:r>
    </w:p>
    <w:p w14:paraId="2BFDB67F" w14:textId="77777777" w:rsidR="00C965F7" w:rsidRPr="00A25CAD" w:rsidRDefault="00C965F7" w:rsidP="00E63D4B">
      <w:pPr>
        <w:spacing w:after="0" w:line="240" w:lineRule="auto"/>
        <w:rPr>
          <w:rFonts w:ascii="Times New Roman" w:eastAsia="Times New Roman" w:hAnsi="Times New Roman"/>
          <w:color w:val="000000" w:themeColor="text1"/>
          <w:sz w:val="24"/>
          <w:szCs w:val="24"/>
        </w:rPr>
      </w:pPr>
    </w:p>
    <w:p w14:paraId="2BFDB680" w14:textId="77777777" w:rsidR="00C965F7" w:rsidRPr="00A25CAD" w:rsidRDefault="00C965F7" w:rsidP="00CC7F6E">
      <w:pPr>
        <w:suppressAutoHyphens/>
        <w:spacing w:beforeLines="20" w:before="48" w:afterLines="20" w:after="48" w:line="240" w:lineRule="auto"/>
        <w:ind w:left="720"/>
        <w:outlineLvl w:val="0"/>
        <w:rPr>
          <w:rFonts w:ascii="Times New Roman" w:eastAsia="Times New Roman" w:hAnsi="Times New Roman"/>
          <w:color w:val="000000" w:themeColor="text1"/>
          <w:spacing w:val="-2"/>
          <w:sz w:val="24"/>
          <w:szCs w:val="24"/>
        </w:rPr>
      </w:pPr>
      <w:r w:rsidRPr="00A25CAD">
        <w:rPr>
          <w:rFonts w:ascii="Times New Roman" w:eastAsia="Times New Roman" w:hAnsi="Times New Roman"/>
          <w:color w:val="000000" w:themeColor="text1"/>
          <w:spacing w:val="-2"/>
          <w:sz w:val="24"/>
          <w:szCs w:val="24"/>
          <w:u w:val="single"/>
        </w:rPr>
        <w:t>Audit</w:t>
      </w:r>
      <w:r w:rsidRPr="00A25CAD">
        <w:rPr>
          <w:rFonts w:ascii="Times New Roman" w:eastAsia="Times New Roman" w:hAnsi="Times New Roman"/>
          <w:color w:val="000000" w:themeColor="text1"/>
          <w:spacing w:val="-2"/>
          <w:sz w:val="24"/>
          <w:szCs w:val="24"/>
        </w:rPr>
        <w:t>. An examination of a Payer’s health care data, information and supporting documentation</w:t>
      </w:r>
      <w:r w:rsidR="003810FB" w:rsidRPr="00A25CAD">
        <w:rPr>
          <w:rFonts w:ascii="Times New Roman" w:eastAsia="Times New Roman" w:hAnsi="Times New Roman"/>
          <w:color w:val="000000" w:themeColor="text1"/>
          <w:spacing w:val="-2"/>
          <w:sz w:val="24"/>
          <w:szCs w:val="24"/>
        </w:rPr>
        <w:t xml:space="preserve"> against internal and external data sources</w:t>
      </w:r>
      <w:r w:rsidRPr="00A25CAD">
        <w:rPr>
          <w:rFonts w:ascii="Times New Roman" w:eastAsia="Times New Roman" w:hAnsi="Times New Roman"/>
          <w:color w:val="000000" w:themeColor="text1"/>
          <w:spacing w:val="-2"/>
          <w:sz w:val="24"/>
          <w:szCs w:val="24"/>
        </w:rPr>
        <w:t xml:space="preserve"> to evaluate the accuracy of such health care data and information and to also ensure consistency in reporting.</w:t>
      </w:r>
    </w:p>
    <w:p w14:paraId="2BFDB681" w14:textId="77777777" w:rsidR="008944F5" w:rsidRPr="00A25CAD" w:rsidRDefault="008944F5" w:rsidP="00E63D4B">
      <w:pPr>
        <w:spacing w:after="0" w:line="240" w:lineRule="auto"/>
        <w:rPr>
          <w:rFonts w:ascii="Times New Roman" w:eastAsia="Times New Roman" w:hAnsi="Times New Roman"/>
          <w:color w:val="000000" w:themeColor="text1"/>
          <w:sz w:val="24"/>
          <w:szCs w:val="24"/>
        </w:rPr>
      </w:pPr>
    </w:p>
    <w:p w14:paraId="2BFDB682" w14:textId="77777777" w:rsidR="008944F5" w:rsidRPr="00A25CAD" w:rsidRDefault="008944F5" w:rsidP="00CC7F6E">
      <w:pPr>
        <w:spacing w:after="0" w:line="240" w:lineRule="auto"/>
        <w:ind w:left="720"/>
        <w:rPr>
          <w:rFonts w:ascii="Times New Roman" w:eastAsia="Times New Roman" w:hAnsi="Times New Roman"/>
          <w:color w:val="000000" w:themeColor="text1"/>
          <w:sz w:val="24"/>
          <w:szCs w:val="24"/>
        </w:rPr>
      </w:pPr>
      <w:r w:rsidRPr="00A25CAD">
        <w:rPr>
          <w:rFonts w:ascii="Times New Roman" w:eastAsia="Times New Roman" w:hAnsi="Times New Roman"/>
          <w:color w:val="000000" w:themeColor="text1"/>
          <w:sz w:val="24"/>
          <w:szCs w:val="24"/>
          <w:u w:val="single"/>
        </w:rPr>
        <w:t>Average Employer Size</w:t>
      </w:r>
      <w:r w:rsidRPr="00131F92">
        <w:rPr>
          <w:rFonts w:ascii="Times New Roman" w:eastAsia="Times New Roman" w:hAnsi="Times New Roman"/>
          <w:color w:val="000000" w:themeColor="text1"/>
          <w:sz w:val="24"/>
          <w:szCs w:val="24"/>
        </w:rPr>
        <w:t>.</w:t>
      </w:r>
      <w:r w:rsidRPr="00A25CAD">
        <w:rPr>
          <w:rFonts w:ascii="Times New Roman" w:eastAsia="Times New Roman" w:hAnsi="Times New Roman"/>
          <w:color w:val="000000" w:themeColor="text1"/>
          <w:sz w:val="24"/>
          <w:szCs w:val="24"/>
        </w:rPr>
        <w:t xml:space="preserve"> For a given </w:t>
      </w:r>
      <w:r w:rsidR="00934154" w:rsidRPr="00A25CAD">
        <w:rPr>
          <w:rFonts w:ascii="Times New Roman" w:eastAsia="Times New Roman" w:hAnsi="Times New Roman"/>
          <w:color w:val="000000" w:themeColor="text1"/>
          <w:sz w:val="24"/>
          <w:szCs w:val="24"/>
        </w:rPr>
        <w:t>category</w:t>
      </w:r>
      <w:r w:rsidRPr="00A25CAD">
        <w:rPr>
          <w:rFonts w:ascii="Times New Roman" w:eastAsia="Times New Roman" w:hAnsi="Times New Roman"/>
          <w:color w:val="000000" w:themeColor="text1"/>
          <w:sz w:val="24"/>
          <w:szCs w:val="24"/>
        </w:rPr>
        <w:t xml:space="preserve">, </w:t>
      </w:r>
      <w:r w:rsidR="00116BF9" w:rsidRPr="00A25CAD">
        <w:rPr>
          <w:rFonts w:ascii="Times New Roman" w:eastAsia="Times New Roman" w:hAnsi="Times New Roman"/>
          <w:color w:val="000000" w:themeColor="text1"/>
          <w:sz w:val="24"/>
          <w:szCs w:val="24"/>
        </w:rPr>
        <w:t xml:space="preserve">the </w:t>
      </w:r>
      <w:r w:rsidRPr="00A25CAD">
        <w:rPr>
          <w:rFonts w:ascii="Times New Roman" w:eastAsia="Times New Roman" w:hAnsi="Times New Roman"/>
          <w:color w:val="000000" w:themeColor="text1"/>
          <w:sz w:val="24"/>
          <w:szCs w:val="24"/>
        </w:rPr>
        <w:t>number of covered employees divided by the number of employers.</w:t>
      </w:r>
    </w:p>
    <w:p w14:paraId="2BFDB683" w14:textId="77777777" w:rsidR="005E7043" w:rsidRPr="00A25CAD" w:rsidRDefault="005E7043" w:rsidP="00CC7F6E">
      <w:pPr>
        <w:spacing w:after="0" w:line="240" w:lineRule="auto"/>
        <w:ind w:left="720"/>
        <w:rPr>
          <w:rFonts w:ascii="Times New Roman" w:eastAsia="Times New Roman" w:hAnsi="Times New Roman"/>
          <w:color w:val="000000" w:themeColor="text1"/>
          <w:sz w:val="24"/>
          <w:szCs w:val="24"/>
        </w:rPr>
      </w:pPr>
    </w:p>
    <w:p w14:paraId="2BFDB684" w14:textId="77777777" w:rsidR="001458B6" w:rsidRPr="00A25CAD" w:rsidRDefault="005E7043" w:rsidP="00AB2B58">
      <w:pPr>
        <w:ind w:left="720"/>
        <w:rPr>
          <w:rFonts w:ascii="Times New Roman" w:eastAsia="Times New Roman" w:hAnsi="Times New Roman"/>
          <w:color w:val="000000" w:themeColor="text1"/>
          <w:sz w:val="24"/>
          <w:szCs w:val="24"/>
        </w:rPr>
      </w:pPr>
      <w:r w:rsidRPr="00A25CAD">
        <w:rPr>
          <w:rFonts w:ascii="Times New Roman" w:hAnsi="Times New Roman"/>
          <w:color w:val="000000" w:themeColor="text1"/>
          <w:sz w:val="24"/>
          <w:szCs w:val="24"/>
          <w:u w:val="single"/>
        </w:rPr>
        <w:t>Benefit Design Type</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Non-mutually exclusive groupings of  Private Commercial Plan</w:t>
      </w:r>
      <w:r w:rsidR="00394A29">
        <w:rPr>
          <w:rFonts w:ascii="Times New Roman" w:hAnsi="Times New Roman"/>
          <w:color w:val="000000" w:themeColor="text1"/>
          <w:sz w:val="24"/>
          <w:szCs w:val="24"/>
        </w:rPr>
        <w:t xml:space="preserve"> membership</w:t>
      </w:r>
      <w:r w:rsidR="00140CF6">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based on benefit</w:t>
      </w:r>
      <w:r w:rsidR="00140CF6">
        <w:rPr>
          <w:rFonts w:ascii="Times New Roman" w:hAnsi="Times New Roman"/>
          <w:color w:val="000000" w:themeColor="text1"/>
          <w:sz w:val="24"/>
          <w:szCs w:val="24"/>
        </w:rPr>
        <w:t>, network,</w:t>
      </w:r>
      <w:r w:rsidRPr="00A25CAD">
        <w:rPr>
          <w:rFonts w:ascii="Times New Roman" w:hAnsi="Times New Roman"/>
          <w:color w:val="000000" w:themeColor="text1"/>
          <w:sz w:val="24"/>
          <w:szCs w:val="24"/>
        </w:rPr>
        <w:t xml:space="preserve"> and/or product design, including but not limited to high-deductible health plans (HDHPs) and health plans that utilize tiered or limited provider networks.</w:t>
      </w:r>
    </w:p>
    <w:p w14:paraId="2BFDB685" w14:textId="77777777" w:rsidR="005F1C15" w:rsidRPr="00A25CAD" w:rsidRDefault="005F1C15" w:rsidP="00CC7F6E">
      <w:pPr>
        <w:ind w:firstLine="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Calendar Year</w:t>
      </w:r>
      <w:r w:rsidRPr="00A25CAD">
        <w:rPr>
          <w:rFonts w:ascii="Times New Roman" w:hAnsi="Times New Roman"/>
          <w:color w:val="000000" w:themeColor="text1"/>
          <w:sz w:val="24"/>
          <w:szCs w:val="24"/>
        </w:rPr>
        <w:t>. The period beginning January 1</w:t>
      </w:r>
      <w:r w:rsidR="009C01BC" w:rsidRPr="00B95D48">
        <w:rPr>
          <w:rFonts w:ascii="Times New Roman" w:hAnsi="Times New Roman"/>
          <w:color w:val="000000" w:themeColor="text1"/>
          <w:sz w:val="24"/>
          <w:szCs w:val="24"/>
          <w:vertAlign w:val="superscript"/>
        </w:rPr>
        <w:t>st</w:t>
      </w:r>
      <w:r w:rsidR="009C01BC">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and ending December 31</w:t>
      </w:r>
      <w:r w:rsidR="009C01BC" w:rsidRPr="00B95D48">
        <w:rPr>
          <w:rFonts w:ascii="Times New Roman" w:hAnsi="Times New Roman"/>
          <w:color w:val="000000" w:themeColor="text1"/>
          <w:sz w:val="24"/>
          <w:szCs w:val="24"/>
          <w:vertAlign w:val="superscript"/>
        </w:rPr>
        <w:t>st</w:t>
      </w:r>
      <w:r w:rsidRPr="00A25CAD">
        <w:rPr>
          <w:rFonts w:ascii="Times New Roman" w:hAnsi="Times New Roman"/>
          <w:color w:val="000000" w:themeColor="text1"/>
          <w:sz w:val="24"/>
          <w:szCs w:val="24"/>
        </w:rPr>
        <w:t>.</w:t>
      </w:r>
    </w:p>
    <w:p w14:paraId="2BFDB686" w14:textId="77777777" w:rsidR="007E6A4D" w:rsidRPr="00A25CAD" w:rsidRDefault="007E6A4D" w:rsidP="00AB2B58">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Center</w:t>
      </w:r>
      <w:r w:rsidRPr="00A25CAD">
        <w:rPr>
          <w:rFonts w:ascii="Times New Roman" w:hAnsi="Times New Roman"/>
          <w:color w:val="000000" w:themeColor="text1"/>
          <w:sz w:val="24"/>
          <w:szCs w:val="24"/>
        </w:rPr>
        <w:t>.</w:t>
      </w:r>
      <w:r w:rsidR="002B0F87" w:rsidRPr="00A25CAD">
        <w:rPr>
          <w:rFonts w:ascii="Times New Roman" w:hAnsi="Times New Roman"/>
          <w:color w:val="000000" w:themeColor="text1"/>
          <w:sz w:val="24"/>
          <w:szCs w:val="24"/>
        </w:rPr>
        <w:t xml:space="preserve"> The Center for Health Information and Analysis</w:t>
      </w:r>
      <w:r w:rsidR="00627344" w:rsidRPr="00A25CAD">
        <w:rPr>
          <w:rFonts w:ascii="Times New Roman" w:hAnsi="Times New Roman"/>
          <w:color w:val="000000" w:themeColor="text1"/>
          <w:sz w:val="24"/>
          <w:szCs w:val="24"/>
        </w:rPr>
        <w:t xml:space="preserve"> established under </w:t>
      </w:r>
      <w:r w:rsidR="00627344" w:rsidRPr="00A25CAD">
        <w:rPr>
          <w:rStyle w:val="Strong"/>
          <w:rFonts w:ascii="Times New Roman" w:hAnsi="Times New Roman"/>
          <w:b w:val="0"/>
          <w:color w:val="000000" w:themeColor="text1"/>
          <w:sz w:val="24"/>
          <w:szCs w:val="24"/>
          <w:shd w:val="clear" w:color="auto" w:fill="FFFFFF"/>
        </w:rPr>
        <w:t>M</w:t>
      </w:r>
      <w:r w:rsidR="00F85E57" w:rsidRPr="00A25CAD">
        <w:rPr>
          <w:rStyle w:val="Strong"/>
          <w:rFonts w:ascii="Times New Roman" w:hAnsi="Times New Roman"/>
          <w:b w:val="0"/>
          <w:color w:val="000000" w:themeColor="text1"/>
          <w:sz w:val="24"/>
          <w:szCs w:val="24"/>
          <w:shd w:val="clear" w:color="auto" w:fill="FFFFFF"/>
        </w:rPr>
        <w:t>.</w:t>
      </w:r>
      <w:r w:rsidR="00627344" w:rsidRPr="00A25CAD">
        <w:rPr>
          <w:rStyle w:val="Strong"/>
          <w:rFonts w:ascii="Times New Roman" w:hAnsi="Times New Roman"/>
          <w:b w:val="0"/>
          <w:color w:val="000000" w:themeColor="text1"/>
          <w:sz w:val="24"/>
          <w:szCs w:val="24"/>
          <w:shd w:val="clear" w:color="auto" w:fill="FFFFFF"/>
        </w:rPr>
        <w:t>G</w:t>
      </w:r>
      <w:r w:rsidR="00F85E57" w:rsidRPr="00A25CAD">
        <w:rPr>
          <w:rStyle w:val="Strong"/>
          <w:rFonts w:ascii="Times New Roman" w:hAnsi="Times New Roman"/>
          <w:b w:val="0"/>
          <w:color w:val="000000" w:themeColor="text1"/>
          <w:sz w:val="24"/>
          <w:szCs w:val="24"/>
          <w:shd w:val="clear" w:color="auto" w:fill="FFFFFF"/>
        </w:rPr>
        <w:t>.</w:t>
      </w:r>
      <w:r w:rsidR="00627344" w:rsidRPr="00A25CAD">
        <w:rPr>
          <w:rStyle w:val="Strong"/>
          <w:rFonts w:ascii="Times New Roman" w:hAnsi="Times New Roman"/>
          <w:b w:val="0"/>
          <w:color w:val="000000" w:themeColor="text1"/>
          <w:sz w:val="24"/>
          <w:szCs w:val="24"/>
          <w:shd w:val="clear" w:color="auto" w:fill="FFFFFF"/>
        </w:rPr>
        <w:t>L</w:t>
      </w:r>
      <w:r w:rsidR="00F85E57" w:rsidRPr="00A25CAD">
        <w:rPr>
          <w:rStyle w:val="Strong"/>
          <w:rFonts w:ascii="Times New Roman" w:hAnsi="Times New Roman"/>
          <w:b w:val="0"/>
          <w:color w:val="000000" w:themeColor="text1"/>
          <w:sz w:val="24"/>
          <w:szCs w:val="24"/>
          <w:shd w:val="clear" w:color="auto" w:fill="FFFFFF"/>
        </w:rPr>
        <w:t>.</w:t>
      </w:r>
      <w:r w:rsidR="008E188C" w:rsidRPr="00A25CAD">
        <w:rPr>
          <w:rStyle w:val="Strong"/>
          <w:rFonts w:ascii="Times New Roman" w:hAnsi="Times New Roman"/>
          <w:b w:val="0"/>
          <w:color w:val="000000" w:themeColor="text1"/>
          <w:sz w:val="24"/>
          <w:szCs w:val="24"/>
          <w:shd w:val="clear" w:color="auto" w:fill="FFFFFF"/>
        </w:rPr>
        <w:t xml:space="preserve"> c.</w:t>
      </w:r>
      <w:r w:rsidR="00F85E57" w:rsidRPr="00A25CAD">
        <w:rPr>
          <w:rStyle w:val="Strong"/>
          <w:rFonts w:ascii="Times New Roman" w:hAnsi="Times New Roman"/>
          <w:b w:val="0"/>
          <w:color w:val="000000" w:themeColor="text1"/>
          <w:sz w:val="24"/>
          <w:szCs w:val="24"/>
          <w:shd w:val="clear" w:color="auto" w:fill="FFFFFF"/>
        </w:rPr>
        <w:t xml:space="preserve"> 12C</w:t>
      </w:r>
      <w:r w:rsidR="002B0F87" w:rsidRPr="00A25CAD">
        <w:rPr>
          <w:rFonts w:ascii="Times New Roman" w:hAnsi="Times New Roman"/>
          <w:color w:val="000000" w:themeColor="text1"/>
          <w:sz w:val="24"/>
          <w:szCs w:val="24"/>
        </w:rPr>
        <w:t>.</w:t>
      </w:r>
    </w:p>
    <w:p w14:paraId="2BFDB687" w14:textId="77777777" w:rsidR="007F6FAD" w:rsidRPr="00A25CAD" w:rsidRDefault="00FC30E7"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Data Submission</w:t>
      </w:r>
      <w:r w:rsidR="0035318B" w:rsidRPr="00A25CAD">
        <w:rPr>
          <w:rFonts w:ascii="Times New Roman" w:hAnsi="Times New Roman"/>
          <w:color w:val="000000" w:themeColor="text1"/>
          <w:sz w:val="24"/>
          <w:szCs w:val="24"/>
          <w:u w:val="single"/>
        </w:rPr>
        <w:t xml:space="preserve"> Manual</w:t>
      </w:r>
      <w:r w:rsidR="0035318B" w:rsidRPr="00A25CAD">
        <w:rPr>
          <w:rFonts w:ascii="Times New Roman" w:hAnsi="Times New Roman"/>
          <w:color w:val="000000" w:themeColor="text1"/>
          <w:sz w:val="24"/>
          <w:szCs w:val="24"/>
        </w:rPr>
        <w:t xml:space="preserve">. </w:t>
      </w:r>
      <w:r w:rsidR="00206D6A" w:rsidRPr="00A25CAD">
        <w:rPr>
          <w:rFonts w:ascii="Times New Roman" w:hAnsi="Times New Roman"/>
          <w:color w:val="000000" w:themeColor="text1"/>
          <w:sz w:val="24"/>
          <w:szCs w:val="24"/>
        </w:rPr>
        <w:t>A</w:t>
      </w:r>
      <w:r w:rsidR="0035318B" w:rsidRPr="00A25CAD">
        <w:rPr>
          <w:rFonts w:ascii="Times New Roman" w:hAnsi="Times New Roman"/>
          <w:color w:val="000000" w:themeColor="text1"/>
          <w:sz w:val="24"/>
          <w:szCs w:val="24"/>
        </w:rPr>
        <w:t xml:space="preserve"> </w:t>
      </w:r>
      <w:r w:rsidR="000843E3" w:rsidRPr="00A25CAD">
        <w:rPr>
          <w:rFonts w:ascii="Times New Roman" w:hAnsi="Times New Roman"/>
          <w:color w:val="000000" w:themeColor="text1"/>
          <w:sz w:val="24"/>
          <w:szCs w:val="24"/>
        </w:rPr>
        <w:t>d</w:t>
      </w:r>
      <w:r w:rsidRPr="00A25CAD">
        <w:rPr>
          <w:rFonts w:ascii="Times New Roman" w:hAnsi="Times New Roman"/>
          <w:color w:val="000000" w:themeColor="text1"/>
          <w:sz w:val="24"/>
          <w:szCs w:val="24"/>
        </w:rPr>
        <w:t xml:space="preserve">ata </w:t>
      </w:r>
      <w:r w:rsidR="000843E3" w:rsidRPr="00A25CAD">
        <w:rPr>
          <w:rFonts w:ascii="Times New Roman" w:hAnsi="Times New Roman"/>
          <w:color w:val="000000" w:themeColor="text1"/>
          <w:sz w:val="24"/>
          <w:szCs w:val="24"/>
        </w:rPr>
        <w:t>s</w:t>
      </w:r>
      <w:r w:rsidRPr="00A25CAD">
        <w:rPr>
          <w:rFonts w:ascii="Times New Roman" w:hAnsi="Times New Roman"/>
          <w:color w:val="000000" w:themeColor="text1"/>
          <w:sz w:val="24"/>
          <w:szCs w:val="24"/>
        </w:rPr>
        <w:t>ubmission</w:t>
      </w:r>
      <w:r w:rsidR="00B81394" w:rsidRPr="00A25CAD">
        <w:rPr>
          <w:rFonts w:ascii="Times New Roman" w:hAnsi="Times New Roman"/>
          <w:color w:val="000000" w:themeColor="text1"/>
          <w:sz w:val="24"/>
          <w:szCs w:val="24"/>
        </w:rPr>
        <w:t xml:space="preserve"> manual</w:t>
      </w:r>
      <w:r w:rsidR="0035318B" w:rsidRPr="00A25CAD">
        <w:rPr>
          <w:rFonts w:ascii="Times New Roman" w:hAnsi="Times New Roman"/>
          <w:color w:val="000000" w:themeColor="text1"/>
          <w:sz w:val="24"/>
          <w:szCs w:val="24"/>
        </w:rPr>
        <w:t xml:space="preserve"> containing detailed specifications and submission guidelines</w:t>
      </w:r>
      <w:r w:rsidR="00F74049" w:rsidRPr="00A25CAD">
        <w:rPr>
          <w:rFonts w:ascii="Times New Roman" w:hAnsi="Times New Roman"/>
          <w:color w:val="000000" w:themeColor="text1"/>
          <w:sz w:val="24"/>
          <w:szCs w:val="24"/>
        </w:rPr>
        <w:t>.</w:t>
      </w:r>
    </w:p>
    <w:p w14:paraId="2BFDB688" w14:textId="77777777" w:rsidR="00FE2FCC" w:rsidRPr="00A25CAD" w:rsidRDefault="00FE2FCC"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Health Care Services</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Supplies, care and services of </w:t>
      </w:r>
      <w:r w:rsidR="00E338AE">
        <w:rPr>
          <w:rFonts w:ascii="Times New Roman" w:hAnsi="Times New Roman"/>
          <w:color w:val="000000" w:themeColor="text1"/>
          <w:sz w:val="24"/>
          <w:szCs w:val="24"/>
        </w:rPr>
        <w:t xml:space="preserve">a </w:t>
      </w:r>
      <w:r w:rsidRPr="00A25CAD">
        <w:rPr>
          <w:rFonts w:ascii="Times New Roman" w:hAnsi="Times New Roman"/>
          <w:color w:val="000000" w:themeColor="text1"/>
          <w:sz w:val="24"/>
          <w:szCs w:val="24"/>
        </w:rPr>
        <w:t>medical, surgical, optometric, dental, podiatric, chiropractic, psychiatric, therapeutic, diagnostic, preventative, rehabilitative, supportive, or geriatric nature including, but not limited to, inpatient and outpatient acute hospital care and services, services provided by a community health center or by a sanatorium, as included in the definition of “hospital” in Title XVIII of the federal Social Security Act, and treatment and care compatible with such services or by a health maintenance organization.</w:t>
      </w:r>
    </w:p>
    <w:p w14:paraId="2BFDB689" w14:textId="77777777" w:rsidR="00AB45E2" w:rsidRDefault="00AB45E2" w:rsidP="00AB45E2">
      <w:pPr>
        <w:ind w:left="720"/>
        <w:rPr>
          <w:rFonts w:ascii="Times New Roman" w:hAnsi="Times New Roman"/>
          <w:color w:val="000000" w:themeColor="text1"/>
          <w:sz w:val="24"/>
          <w:szCs w:val="24"/>
        </w:rPr>
      </w:pPr>
      <w:r w:rsidRPr="00E47EF2">
        <w:rPr>
          <w:rFonts w:ascii="Times New Roman" w:hAnsi="Times New Roman"/>
          <w:color w:val="000000" w:themeColor="text1"/>
          <w:sz w:val="24"/>
          <w:szCs w:val="24"/>
          <w:u w:val="single"/>
        </w:rPr>
        <w:t>Health Insurance Plan</w:t>
      </w:r>
      <w:r w:rsidRPr="00131F92">
        <w:rPr>
          <w:rFonts w:ascii="Times New Roman" w:hAnsi="Times New Roman"/>
          <w:color w:val="000000" w:themeColor="text1"/>
          <w:sz w:val="24"/>
          <w:szCs w:val="24"/>
        </w:rPr>
        <w:t xml:space="preserve">. </w:t>
      </w:r>
      <w:r w:rsidR="00C157E7" w:rsidRPr="00E47EF2">
        <w:rPr>
          <w:rFonts w:ascii="Times New Roman" w:hAnsi="Times New Roman"/>
          <w:color w:val="000000" w:themeColor="text1"/>
          <w:sz w:val="24"/>
          <w:szCs w:val="24"/>
        </w:rPr>
        <w:t>A</w:t>
      </w:r>
      <w:r w:rsidRPr="00E47EF2">
        <w:rPr>
          <w:rFonts w:ascii="Times New Roman" w:hAnsi="Times New Roman"/>
          <w:color w:val="000000" w:themeColor="text1"/>
          <w:sz w:val="24"/>
          <w:szCs w:val="24"/>
        </w:rPr>
        <w:t xml:space="preserve">n individual or group contract or other plan providing coverage of Health Care Services and which is issued by a </w:t>
      </w:r>
      <w:r w:rsidR="00E47EF2">
        <w:rPr>
          <w:rFonts w:ascii="Times New Roman" w:hAnsi="Times New Roman"/>
          <w:color w:val="000000" w:themeColor="text1"/>
          <w:sz w:val="24"/>
          <w:szCs w:val="24"/>
        </w:rPr>
        <w:t>Payer</w:t>
      </w:r>
      <w:r w:rsidRPr="00E47EF2">
        <w:rPr>
          <w:rFonts w:ascii="Times New Roman" w:hAnsi="Times New Roman"/>
          <w:color w:val="000000" w:themeColor="text1"/>
          <w:sz w:val="24"/>
          <w:szCs w:val="24"/>
        </w:rPr>
        <w:t>, a hospital service corporation, a medical service corporation or a health maintenance organization.</w:t>
      </w:r>
    </w:p>
    <w:p w14:paraId="2BFDB68A" w14:textId="77777777" w:rsidR="000034E3" w:rsidRPr="00A25CAD" w:rsidRDefault="000034E3"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Health Insurance Premiums</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The gross p</w:t>
      </w:r>
      <w:r w:rsidR="00712497" w:rsidRPr="00A25CAD">
        <w:rPr>
          <w:rFonts w:ascii="Times New Roman" w:hAnsi="Times New Roman"/>
          <w:color w:val="000000" w:themeColor="text1"/>
          <w:sz w:val="24"/>
          <w:szCs w:val="24"/>
        </w:rPr>
        <w:t xml:space="preserve">remiums earned for </w:t>
      </w:r>
      <w:r w:rsidR="00896FD9">
        <w:rPr>
          <w:rFonts w:ascii="Times New Roman" w:hAnsi="Times New Roman"/>
          <w:color w:val="000000" w:themeColor="text1"/>
          <w:sz w:val="24"/>
          <w:szCs w:val="24"/>
        </w:rPr>
        <w:t>providing health insurance coverage</w:t>
      </w:r>
      <w:r w:rsidRPr="00A25CAD">
        <w:rPr>
          <w:rFonts w:ascii="Times New Roman" w:hAnsi="Times New Roman"/>
          <w:color w:val="000000" w:themeColor="text1"/>
          <w:sz w:val="24"/>
          <w:szCs w:val="24"/>
        </w:rPr>
        <w:t>, including any portion of the premium that is paid to a third party</w:t>
      </w:r>
      <w:r w:rsidR="00BE467D">
        <w:rPr>
          <w:rFonts w:ascii="Times New Roman" w:hAnsi="Times New Roman"/>
          <w:color w:val="000000" w:themeColor="text1"/>
          <w:sz w:val="24"/>
          <w:szCs w:val="24"/>
        </w:rPr>
        <w:t>.</w:t>
      </w:r>
    </w:p>
    <w:p w14:paraId="2BFDB68B" w14:textId="77777777" w:rsidR="001458B6" w:rsidRPr="00A25CAD" w:rsidRDefault="001458B6"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Incurred Claims</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The total cost of claims, after the provider/network discount (if any) and after member cost sharing. </w:t>
      </w:r>
      <w:r w:rsidR="00D67265" w:rsidRPr="00A25CAD">
        <w:rPr>
          <w:rFonts w:ascii="Times New Roman" w:hAnsi="Times New Roman"/>
          <w:color w:val="000000" w:themeColor="text1"/>
          <w:sz w:val="24"/>
          <w:szCs w:val="24"/>
        </w:rPr>
        <w:t xml:space="preserve">Incurred claims </w:t>
      </w:r>
      <w:r w:rsidRPr="00A25CAD">
        <w:rPr>
          <w:rFonts w:ascii="Times New Roman" w:hAnsi="Times New Roman"/>
          <w:color w:val="000000" w:themeColor="text1"/>
          <w:sz w:val="24"/>
          <w:szCs w:val="24"/>
        </w:rPr>
        <w:t xml:space="preserve">include medical claims, drug claims, and </w:t>
      </w:r>
      <w:r w:rsidRPr="00A25CAD">
        <w:rPr>
          <w:rFonts w:ascii="Times New Roman" w:hAnsi="Times New Roman"/>
          <w:color w:val="000000" w:themeColor="text1"/>
          <w:sz w:val="24"/>
          <w:szCs w:val="24"/>
        </w:rPr>
        <w:lastRenderedPageBreak/>
        <w:t xml:space="preserve">capitation payments, and all other payments to providers including those paid outside of the claims system. This value should include </w:t>
      </w:r>
      <w:r w:rsidR="00896FD9">
        <w:rPr>
          <w:rFonts w:ascii="Times New Roman" w:hAnsi="Times New Roman"/>
          <w:color w:val="000000" w:themeColor="text1"/>
          <w:sz w:val="24"/>
          <w:szCs w:val="24"/>
        </w:rPr>
        <w:t xml:space="preserve">incurred but not reported </w:t>
      </w:r>
      <w:r w:rsidRPr="00A25CAD">
        <w:rPr>
          <w:rFonts w:ascii="Times New Roman" w:hAnsi="Times New Roman"/>
          <w:color w:val="000000" w:themeColor="text1"/>
          <w:sz w:val="24"/>
          <w:szCs w:val="24"/>
        </w:rPr>
        <w:t xml:space="preserve">estimates </w:t>
      </w:r>
      <w:r w:rsidR="00AE56D0">
        <w:rPr>
          <w:rFonts w:ascii="Times New Roman" w:hAnsi="Times New Roman"/>
          <w:color w:val="000000" w:themeColor="text1"/>
          <w:sz w:val="24"/>
          <w:szCs w:val="24"/>
        </w:rPr>
        <w:t xml:space="preserve">resulting in </w:t>
      </w:r>
      <w:r w:rsidR="00BE467D">
        <w:rPr>
          <w:rFonts w:ascii="Times New Roman" w:hAnsi="Times New Roman"/>
          <w:color w:val="000000" w:themeColor="text1"/>
          <w:sz w:val="24"/>
          <w:szCs w:val="24"/>
        </w:rPr>
        <w:t>approximated</w:t>
      </w:r>
      <w:r w:rsidR="00AE56D0" w:rsidRPr="00A25CAD">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completed claims for periods that are not yet considered complete.</w:t>
      </w:r>
    </w:p>
    <w:p w14:paraId="2BFDB68C" w14:textId="77777777" w:rsidR="008944F5" w:rsidRPr="00A25CAD" w:rsidRDefault="008944F5"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Insurance Funding Type</w:t>
      </w:r>
      <w:r w:rsidRPr="00131F92">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 xml:space="preserve">A </w:t>
      </w:r>
      <w:r w:rsidR="00394A29">
        <w:rPr>
          <w:rFonts w:ascii="Times New Roman" w:hAnsi="Times New Roman"/>
          <w:color w:val="000000" w:themeColor="text1"/>
          <w:sz w:val="24"/>
          <w:szCs w:val="24"/>
        </w:rPr>
        <w:t>mutually exclusive grouping</w:t>
      </w:r>
      <w:r w:rsidR="00CB5D8D">
        <w:rPr>
          <w:rFonts w:ascii="Times New Roman" w:hAnsi="Times New Roman"/>
          <w:color w:val="000000" w:themeColor="text1"/>
          <w:sz w:val="24"/>
          <w:szCs w:val="24"/>
        </w:rPr>
        <w:t xml:space="preserve"> of Private Commercial Plan</w:t>
      </w:r>
      <w:r w:rsidR="00394A29">
        <w:rPr>
          <w:rFonts w:ascii="Times New Roman" w:hAnsi="Times New Roman"/>
          <w:color w:val="000000" w:themeColor="text1"/>
          <w:sz w:val="24"/>
          <w:szCs w:val="24"/>
        </w:rPr>
        <w:t xml:space="preserve"> membership based on whether </w:t>
      </w:r>
      <w:r w:rsidR="00A75F8A" w:rsidRPr="00A25CAD">
        <w:rPr>
          <w:rFonts w:ascii="Times New Roman" w:hAnsi="Times New Roman"/>
          <w:color w:val="000000" w:themeColor="text1"/>
          <w:sz w:val="24"/>
          <w:szCs w:val="24"/>
        </w:rPr>
        <w:t xml:space="preserve">the Payer is </w:t>
      </w:r>
      <w:r w:rsidR="005F230A">
        <w:rPr>
          <w:rFonts w:ascii="Times New Roman" w:hAnsi="Times New Roman"/>
          <w:color w:val="000000" w:themeColor="text1"/>
          <w:sz w:val="24"/>
          <w:szCs w:val="24"/>
        </w:rPr>
        <w:t xml:space="preserve">financially </w:t>
      </w:r>
      <w:r w:rsidR="00A75F8A" w:rsidRPr="00A25CAD">
        <w:rPr>
          <w:rFonts w:ascii="Times New Roman" w:hAnsi="Times New Roman"/>
          <w:color w:val="000000" w:themeColor="text1"/>
          <w:sz w:val="24"/>
          <w:szCs w:val="24"/>
        </w:rPr>
        <w:t>responsible for</w:t>
      </w:r>
      <w:r w:rsidR="005F230A">
        <w:rPr>
          <w:rFonts w:ascii="Times New Roman" w:hAnsi="Times New Roman"/>
          <w:color w:val="000000" w:themeColor="text1"/>
          <w:sz w:val="24"/>
          <w:szCs w:val="24"/>
        </w:rPr>
        <w:t xml:space="preserve"> paying</w:t>
      </w:r>
      <w:r w:rsidR="00A75F8A" w:rsidRPr="00A25CAD">
        <w:rPr>
          <w:rFonts w:ascii="Times New Roman" w:hAnsi="Times New Roman"/>
          <w:color w:val="000000" w:themeColor="text1"/>
          <w:sz w:val="24"/>
          <w:szCs w:val="24"/>
        </w:rPr>
        <w:t xml:space="preserve"> covered me</w:t>
      </w:r>
      <w:r w:rsidR="006E14F3">
        <w:rPr>
          <w:rFonts w:ascii="Times New Roman" w:hAnsi="Times New Roman"/>
          <w:color w:val="000000" w:themeColor="text1"/>
          <w:sz w:val="24"/>
          <w:szCs w:val="24"/>
        </w:rPr>
        <w:t xml:space="preserve">mbers’ medical claims </w:t>
      </w:r>
      <w:r w:rsidR="00394A29">
        <w:rPr>
          <w:rFonts w:ascii="Times New Roman" w:hAnsi="Times New Roman"/>
          <w:color w:val="000000" w:themeColor="text1"/>
          <w:sz w:val="24"/>
          <w:szCs w:val="24"/>
        </w:rPr>
        <w:t xml:space="preserve">or whether </w:t>
      </w:r>
      <w:r w:rsidR="00A75F8A" w:rsidRPr="00A25CAD">
        <w:rPr>
          <w:rFonts w:ascii="Times New Roman" w:hAnsi="Times New Roman"/>
          <w:color w:val="000000" w:themeColor="text1"/>
          <w:sz w:val="24"/>
          <w:szCs w:val="24"/>
        </w:rPr>
        <w:t>the</w:t>
      </w:r>
      <w:r w:rsidR="00C61B01">
        <w:rPr>
          <w:rFonts w:ascii="Times New Roman" w:hAnsi="Times New Roman"/>
          <w:color w:val="000000" w:themeColor="text1"/>
          <w:sz w:val="24"/>
          <w:szCs w:val="24"/>
        </w:rPr>
        <w:t xml:space="preserve"> employer</w:t>
      </w:r>
      <w:r w:rsidR="00A75F8A" w:rsidRPr="00A25CAD">
        <w:rPr>
          <w:rFonts w:ascii="Times New Roman" w:hAnsi="Times New Roman"/>
          <w:color w:val="000000" w:themeColor="text1"/>
          <w:sz w:val="24"/>
          <w:szCs w:val="24"/>
        </w:rPr>
        <w:t xml:space="preserve"> is </w:t>
      </w:r>
      <w:r w:rsidR="005F230A">
        <w:rPr>
          <w:rFonts w:ascii="Times New Roman" w:hAnsi="Times New Roman"/>
          <w:color w:val="000000" w:themeColor="text1"/>
          <w:sz w:val="24"/>
          <w:szCs w:val="24"/>
        </w:rPr>
        <w:t xml:space="preserve">financially </w:t>
      </w:r>
      <w:r w:rsidR="00A75F8A" w:rsidRPr="00A25CAD">
        <w:rPr>
          <w:rFonts w:ascii="Times New Roman" w:hAnsi="Times New Roman"/>
          <w:color w:val="000000" w:themeColor="text1"/>
          <w:sz w:val="24"/>
          <w:szCs w:val="24"/>
        </w:rPr>
        <w:t xml:space="preserve">responsible for </w:t>
      </w:r>
      <w:r w:rsidR="005F230A">
        <w:rPr>
          <w:rFonts w:ascii="Times New Roman" w:hAnsi="Times New Roman"/>
          <w:color w:val="000000" w:themeColor="text1"/>
          <w:sz w:val="24"/>
          <w:szCs w:val="24"/>
        </w:rPr>
        <w:t xml:space="preserve">paying </w:t>
      </w:r>
      <w:r w:rsidR="00A75F8A" w:rsidRPr="00A25CAD">
        <w:rPr>
          <w:rFonts w:ascii="Times New Roman" w:hAnsi="Times New Roman"/>
          <w:color w:val="000000" w:themeColor="text1"/>
          <w:sz w:val="24"/>
          <w:szCs w:val="24"/>
        </w:rPr>
        <w:t>members’ claims.</w:t>
      </w:r>
    </w:p>
    <w:p w14:paraId="2BFDB68D" w14:textId="77777777" w:rsidR="001725CF" w:rsidRPr="00A25CAD" w:rsidRDefault="001725CF" w:rsidP="001725CF">
      <w:pPr>
        <w:ind w:left="720"/>
        <w:rPr>
          <w:rFonts w:ascii="Times New Roman" w:hAnsi="Times New Roman"/>
          <w:sz w:val="24"/>
          <w:szCs w:val="24"/>
          <w:u w:val="single"/>
        </w:rPr>
      </w:pPr>
      <w:r w:rsidRPr="00A25CAD">
        <w:rPr>
          <w:rFonts w:ascii="Times New Roman" w:hAnsi="Times New Roman"/>
          <w:sz w:val="24"/>
          <w:szCs w:val="24"/>
          <w:u w:val="single"/>
        </w:rPr>
        <w:t>Member</w:t>
      </w:r>
      <w:r w:rsidRPr="00131F92">
        <w:rPr>
          <w:rFonts w:ascii="Times New Roman" w:hAnsi="Times New Roman"/>
          <w:sz w:val="24"/>
          <w:szCs w:val="24"/>
        </w:rPr>
        <w:t>.</w:t>
      </w:r>
      <w:r w:rsidRPr="00A25CAD">
        <w:rPr>
          <w:rFonts w:ascii="Times New Roman" w:hAnsi="Times New Roman"/>
          <w:sz w:val="24"/>
          <w:szCs w:val="24"/>
        </w:rPr>
        <w:t xml:space="preserve"> A person </w:t>
      </w:r>
      <w:r w:rsidR="00C61B01">
        <w:rPr>
          <w:rFonts w:ascii="Times New Roman" w:hAnsi="Times New Roman"/>
          <w:sz w:val="24"/>
          <w:szCs w:val="24"/>
        </w:rPr>
        <w:t>covered by</w:t>
      </w:r>
      <w:r w:rsidRPr="00A25CAD">
        <w:rPr>
          <w:rFonts w:ascii="Times New Roman" w:hAnsi="Times New Roman"/>
          <w:sz w:val="24"/>
          <w:szCs w:val="24"/>
        </w:rPr>
        <w:t xml:space="preserve"> an individual contract or a certificate under a group arrangement contracted with a Payer</w:t>
      </w:r>
      <w:r w:rsidR="00C61B01">
        <w:rPr>
          <w:rFonts w:ascii="Times New Roman" w:hAnsi="Times New Roman"/>
          <w:sz w:val="24"/>
          <w:szCs w:val="24"/>
        </w:rPr>
        <w:t>,</w:t>
      </w:r>
      <w:r w:rsidR="00E93E58" w:rsidRPr="00E93E58">
        <w:rPr>
          <w:rFonts w:ascii="Times New Roman" w:hAnsi="Times New Roman"/>
          <w:sz w:val="24"/>
          <w:szCs w:val="24"/>
        </w:rPr>
        <w:t xml:space="preserve"> </w:t>
      </w:r>
      <w:r w:rsidR="00E93E58">
        <w:rPr>
          <w:rFonts w:ascii="Times New Roman" w:hAnsi="Times New Roman"/>
          <w:sz w:val="24"/>
          <w:szCs w:val="24"/>
        </w:rPr>
        <w:t>or their covered dependents</w:t>
      </w:r>
      <w:r w:rsidRPr="00A25CAD">
        <w:rPr>
          <w:rFonts w:ascii="Times New Roman" w:hAnsi="Times New Roman"/>
          <w:sz w:val="24"/>
          <w:szCs w:val="24"/>
        </w:rPr>
        <w:t>.</w:t>
      </w:r>
    </w:p>
    <w:p w14:paraId="2BFDB68E" w14:textId="77777777" w:rsidR="00B81FEE" w:rsidRDefault="001725CF">
      <w:pPr>
        <w:ind w:left="720"/>
        <w:rPr>
          <w:rFonts w:ascii="Times New Roman" w:hAnsi="Times New Roman"/>
          <w:sz w:val="24"/>
          <w:szCs w:val="24"/>
        </w:rPr>
      </w:pPr>
      <w:r w:rsidRPr="00A25CAD">
        <w:rPr>
          <w:rFonts w:ascii="Times New Roman" w:hAnsi="Times New Roman"/>
          <w:sz w:val="24"/>
          <w:szCs w:val="24"/>
          <w:u w:val="single"/>
        </w:rPr>
        <w:t>Member Months</w:t>
      </w:r>
      <w:r w:rsidRPr="00131F92">
        <w:rPr>
          <w:rFonts w:ascii="Times New Roman" w:hAnsi="Times New Roman"/>
          <w:sz w:val="24"/>
          <w:szCs w:val="24"/>
        </w:rPr>
        <w:t xml:space="preserve">. </w:t>
      </w:r>
      <w:r w:rsidRPr="00A25CAD">
        <w:rPr>
          <w:rFonts w:ascii="Times New Roman" w:hAnsi="Times New Roman"/>
          <w:sz w:val="24"/>
          <w:szCs w:val="24"/>
        </w:rPr>
        <w:t xml:space="preserve"> The number of </w:t>
      </w:r>
      <w:r w:rsidR="00C61B01">
        <w:rPr>
          <w:rFonts w:ascii="Times New Roman" w:hAnsi="Times New Roman"/>
          <w:sz w:val="24"/>
          <w:szCs w:val="24"/>
        </w:rPr>
        <w:t>months during which Members are covered, over a specified period of time.</w:t>
      </w:r>
    </w:p>
    <w:p w14:paraId="1B36DE9E" w14:textId="77777777" w:rsidR="00515AA7" w:rsidRPr="00515AA7" w:rsidRDefault="00515AA7" w:rsidP="00515AA7">
      <w:pPr>
        <w:ind w:left="720"/>
        <w:rPr>
          <w:rFonts w:ascii="Times New Roman" w:hAnsi="Times New Roman"/>
          <w:sz w:val="24"/>
          <w:szCs w:val="24"/>
        </w:rPr>
      </w:pPr>
      <w:r w:rsidRPr="00515AA7">
        <w:rPr>
          <w:rFonts w:ascii="Times New Roman" w:hAnsi="Times New Roman"/>
          <w:sz w:val="24"/>
          <w:szCs w:val="24"/>
          <w:u w:val="single"/>
        </w:rPr>
        <w:t>Presiding Officer</w:t>
      </w:r>
      <w:r w:rsidRPr="00515AA7">
        <w:rPr>
          <w:rFonts w:ascii="Times New Roman" w:hAnsi="Times New Roman"/>
          <w:sz w:val="24"/>
          <w:szCs w:val="24"/>
        </w:rPr>
        <w:t>. The individual(s) authorized by law or designated by the Center to conduct an Adjudicatory Proceeding.</w:t>
      </w:r>
    </w:p>
    <w:p w14:paraId="2BFDB68F" w14:textId="77777777" w:rsidR="00934154" w:rsidRPr="00A25CAD" w:rsidRDefault="00934154" w:rsidP="00AB2B58">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Private Commercial Plans</w:t>
      </w:r>
      <w:r w:rsidRPr="00A25CAD">
        <w:rPr>
          <w:rFonts w:ascii="Times New Roman" w:hAnsi="Times New Roman"/>
          <w:color w:val="000000" w:themeColor="text1"/>
          <w:sz w:val="24"/>
          <w:szCs w:val="24"/>
        </w:rPr>
        <w:t>. All primary, medical Health Insurance Plans</w:t>
      </w:r>
      <w:r w:rsidR="00C04AD3">
        <w:rPr>
          <w:rFonts w:ascii="Times New Roman" w:hAnsi="Times New Roman"/>
          <w:color w:val="000000" w:themeColor="text1"/>
          <w:sz w:val="24"/>
          <w:szCs w:val="24"/>
        </w:rPr>
        <w:t xml:space="preserve"> </w:t>
      </w:r>
      <w:r w:rsidR="00C04AD3" w:rsidRPr="00496E95">
        <w:rPr>
          <w:rFonts w:ascii="Times New Roman" w:hAnsi="Times New Roman"/>
          <w:color w:val="000000" w:themeColor="text1"/>
          <w:sz w:val="24"/>
          <w:szCs w:val="24"/>
        </w:rPr>
        <w:t xml:space="preserve">or </w:t>
      </w:r>
      <w:r w:rsidR="00C04AD3" w:rsidRPr="009A1BD7">
        <w:rPr>
          <w:rFonts w:ascii="Times New Roman" w:hAnsi="Times New Roman"/>
          <w:color w:val="000000" w:themeColor="text1"/>
          <w:sz w:val="24"/>
          <w:szCs w:val="24"/>
        </w:rPr>
        <w:t>Self-Insured Health Plans</w:t>
      </w:r>
      <w:r w:rsidR="008334D1" w:rsidRPr="00A25CAD">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w:t>
      </w:r>
      <w:r w:rsidR="00E93E58">
        <w:rPr>
          <w:rFonts w:ascii="Times New Roman" w:hAnsi="Times New Roman"/>
          <w:color w:val="000000" w:themeColor="text1"/>
          <w:sz w:val="24"/>
          <w:szCs w:val="24"/>
        </w:rPr>
        <w:t>provided</w:t>
      </w:r>
      <w:r w:rsidR="00E93E58" w:rsidRPr="00A25CAD">
        <w:rPr>
          <w:rFonts w:ascii="Times New Roman" w:hAnsi="Times New Roman"/>
          <w:color w:val="000000" w:themeColor="text1"/>
          <w:sz w:val="24"/>
          <w:szCs w:val="24"/>
        </w:rPr>
        <w:t xml:space="preserve"> </w:t>
      </w:r>
      <w:r w:rsidR="008334D1" w:rsidRPr="00A25CAD">
        <w:rPr>
          <w:rFonts w:ascii="Times New Roman" w:hAnsi="Times New Roman"/>
          <w:color w:val="000000" w:themeColor="text1"/>
          <w:sz w:val="24"/>
          <w:szCs w:val="24"/>
        </w:rPr>
        <w:t xml:space="preserve">by Private Health Care Payers, </w:t>
      </w:r>
      <w:r w:rsidRPr="00A25CAD">
        <w:rPr>
          <w:rFonts w:ascii="Times New Roman" w:hAnsi="Times New Roman"/>
          <w:color w:val="000000" w:themeColor="text1"/>
          <w:sz w:val="24"/>
          <w:szCs w:val="24"/>
        </w:rPr>
        <w:t xml:space="preserve">with contract situs or administration based in Massachusetts. The following types of business are not considered to be </w:t>
      </w:r>
      <w:r w:rsidR="00623D25" w:rsidRPr="00A25CAD">
        <w:rPr>
          <w:rFonts w:ascii="Times New Roman" w:hAnsi="Times New Roman"/>
          <w:color w:val="000000" w:themeColor="text1"/>
          <w:sz w:val="24"/>
          <w:szCs w:val="24"/>
        </w:rPr>
        <w:t xml:space="preserve">Private </w:t>
      </w:r>
      <w:r w:rsidRPr="00A25CAD">
        <w:rPr>
          <w:rFonts w:ascii="Times New Roman" w:hAnsi="Times New Roman"/>
          <w:color w:val="000000" w:themeColor="text1"/>
          <w:sz w:val="24"/>
          <w:szCs w:val="24"/>
        </w:rPr>
        <w:t>Commercial Plans</w:t>
      </w:r>
      <w:r w:rsidR="001925E7" w:rsidRPr="00A25CAD">
        <w:rPr>
          <w:rFonts w:ascii="Times New Roman" w:hAnsi="Times New Roman"/>
          <w:color w:val="000000" w:themeColor="text1"/>
          <w:sz w:val="24"/>
          <w:szCs w:val="24"/>
        </w:rPr>
        <w:t xml:space="preserve"> under 957 CMR 10.00</w:t>
      </w:r>
      <w:r w:rsidRPr="00A25CAD">
        <w:rPr>
          <w:rFonts w:ascii="Times New Roman" w:hAnsi="Times New Roman"/>
          <w:color w:val="000000" w:themeColor="text1"/>
          <w:sz w:val="24"/>
          <w:szCs w:val="24"/>
        </w:rPr>
        <w:t xml:space="preserve">: Medicare Advantage, Commonwealth Care, Medicaid Managed Care, Medicare Supplement, Federal Employee Health Benefit Plan (FEHBP), Medical Security Program, and other non-primary, non-medical business.  </w:t>
      </w:r>
    </w:p>
    <w:p w14:paraId="2BFDB690" w14:textId="77777777" w:rsidR="005E7043" w:rsidRPr="00A25CAD" w:rsidRDefault="000C5F23" w:rsidP="00CC7F6E">
      <w:pPr>
        <w:ind w:left="720"/>
        <w:rPr>
          <w:rFonts w:ascii="Times New Roman" w:hAnsi="Times New Roman"/>
          <w:color w:val="000000" w:themeColor="text1"/>
          <w:sz w:val="24"/>
          <w:szCs w:val="24"/>
        </w:rPr>
      </w:pPr>
      <w:r w:rsidRPr="00FC159F">
        <w:rPr>
          <w:rFonts w:ascii="Times New Roman" w:hAnsi="Times New Roman"/>
          <w:color w:val="000000" w:themeColor="text1"/>
          <w:sz w:val="24"/>
          <w:szCs w:val="24"/>
          <w:u w:val="single"/>
        </w:rPr>
        <w:t>Private Health Care Payer</w:t>
      </w:r>
      <w:r w:rsidR="001D04D5" w:rsidRPr="00FC159F">
        <w:rPr>
          <w:rFonts w:ascii="Times New Roman" w:hAnsi="Times New Roman"/>
          <w:color w:val="000000" w:themeColor="text1"/>
          <w:sz w:val="24"/>
          <w:szCs w:val="24"/>
          <w:u w:val="single"/>
        </w:rPr>
        <w:t xml:space="preserve"> (“Payer”)</w:t>
      </w:r>
      <w:r w:rsidRPr="00FC159F">
        <w:rPr>
          <w:rFonts w:ascii="Times New Roman" w:hAnsi="Times New Roman"/>
          <w:color w:val="000000" w:themeColor="text1"/>
          <w:sz w:val="24"/>
          <w:szCs w:val="24"/>
        </w:rPr>
        <w:t xml:space="preserve">. </w:t>
      </w:r>
      <w:r w:rsidR="00685763" w:rsidRPr="00A25CAD">
        <w:rPr>
          <w:rFonts w:ascii="Times New Roman" w:hAnsi="Times New Roman"/>
          <w:color w:val="000000" w:themeColor="text1"/>
          <w:sz w:val="24"/>
          <w:szCs w:val="24"/>
        </w:rPr>
        <w:t xml:space="preserve">A </w:t>
      </w:r>
      <w:r w:rsidR="001D04D5" w:rsidRPr="00A25CAD">
        <w:rPr>
          <w:rFonts w:ascii="Times New Roman" w:hAnsi="Times New Roman"/>
          <w:color w:val="000000" w:themeColor="text1"/>
          <w:sz w:val="24"/>
          <w:szCs w:val="24"/>
        </w:rPr>
        <w:t>private entity</w:t>
      </w:r>
      <w:r w:rsidR="00685763" w:rsidRPr="00A25CAD">
        <w:rPr>
          <w:rFonts w:ascii="Times New Roman" w:hAnsi="Times New Roman"/>
          <w:color w:val="000000" w:themeColor="text1"/>
          <w:sz w:val="24"/>
          <w:szCs w:val="24"/>
        </w:rPr>
        <w:t xml:space="preserve"> that contracts to provide, deliver, arrange for, pay for, or reimburse any of the costs of Health Care Services. A </w:t>
      </w:r>
      <w:r w:rsidR="001D04D5" w:rsidRPr="00A25CAD">
        <w:rPr>
          <w:rFonts w:ascii="Times New Roman" w:hAnsi="Times New Roman"/>
          <w:color w:val="000000" w:themeColor="text1"/>
          <w:sz w:val="24"/>
          <w:szCs w:val="24"/>
        </w:rPr>
        <w:t xml:space="preserve">Private </w:t>
      </w:r>
      <w:r w:rsidR="00685763" w:rsidRPr="00A25CAD">
        <w:rPr>
          <w:rFonts w:ascii="Times New Roman" w:hAnsi="Times New Roman"/>
          <w:color w:val="000000" w:themeColor="text1"/>
          <w:sz w:val="24"/>
          <w:szCs w:val="24"/>
        </w:rPr>
        <w:t>Health Care Payer</w:t>
      </w:r>
      <w:r w:rsidR="00C157E7">
        <w:rPr>
          <w:rFonts w:ascii="Times New Roman" w:hAnsi="Times New Roman"/>
          <w:color w:val="000000" w:themeColor="text1"/>
          <w:sz w:val="24"/>
          <w:szCs w:val="24"/>
        </w:rPr>
        <w:t xml:space="preserve"> includes a</w:t>
      </w:r>
      <w:r w:rsidR="00C157E7" w:rsidRPr="00C157E7">
        <w:rPr>
          <w:rFonts w:ascii="Times New Roman" w:hAnsi="Times New Roman"/>
          <w:color w:val="000000" w:themeColor="text1"/>
          <w:sz w:val="24"/>
          <w:szCs w:val="24"/>
        </w:rPr>
        <w:t xml:space="preserve"> carrier authorized to transact accident and health insurance under </w:t>
      </w:r>
      <w:r w:rsidR="00E91AAD">
        <w:rPr>
          <w:rFonts w:ascii="Times New Roman" w:hAnsi="Times New Roman"/>
          <w:color w:val="000000" w:themeColor="text1"/>
          <w:sz w:val="24"/>
          <w:szCs w:val="24"/>
        </w:rPr>
        <w:t>M.G.L. c.</w:t>
      </w:r>
      <w:r w:rsidR="00E91AAD" w:rsidRPr="00C157E7">
        <w:rPr>
          <w:rFonts w:ascii="Times New Roman" w:hAnsi="Times New Roman"/>
          <w:color w:val="000000" w:themeColor="text1"/>
          <w:sz w:val="24"/>
          <w:szCs w:val="24"/>
        </w:rPr>
        <w:t xml:space="preserve"> </w:t>
      </w:r>
      <w:r w:rsidR="00C157E7" w:rsidRPr="00C157E7">
        <w:rPr>
          <w:rFonts w:ascii="Times New Roman" w:hAnsi="Times New Roman"/>
          <w:color w:val="000000" w:themeColor="text1"/>
          <w:sz w:val="24"/>
          <w:szCs w:val="24"/>
        </w:rPr>
        <w:t xml:space="preserve">175, a nonprofit hospital service corporation licensed under </w:t>
      </w:r>
      <w:r w:rsidR="00EF1C63">
        <w:rPr>
          <w:rFonts w:ascii="Times New Roman" w:hAnsi="Times New Roman"/>
          <w:color w:val="000000" w:themeColor="text1"/>
          <w:sz w:val="24"/>
          <w:szCs w:val="24"/>
        </w:rPr>
        <w:t>M.G.L. c.</w:t>
      </w:r>
      <w:r w:rsidR="00EF1C63" w:rsidRPr="00C157E7">
        <w:rPr>
          <w:rFonts w:ascii="Times New Roman" w:hAnsi="Times New Roman"/>
          <w:color w:val="000000" w:themeColor="text1"/>
          <w:sz w:val="24"/>
          <w:szCs w:val="24"/>
        </w:rPr>
        <w:t xml:space="preserve"> </w:t>
      </w:r>
      <w:r w:rsidR="00C157E7" w:rsidRPr="00C157E7">
        <w:rPr>
          <w:rFonts w:ascii="Times New Roman" w:hAnsi="Times New Roman"/>
          <w:color w:val="000000" w:themeColor="text1"/>
          <w:sz w:val="24"/>
          <w:szCs w:val="24"/>
        </w:rPr>
        <w:t xml:space="preserve">176A, </w:t>
      </w:r>
      <w:r w:rsidR="00C157E7">
        <w:rPr>
          <w:rFonts w:ascii="Times New Roman" w:hAnsi="Times New Roman"/>
          <w:color w:val="000000" w:themeColor="text1"/>
          <w:sz w:val="24"/>
          <w:szCs w:val="24"/>
        </w:rPr>
        <w:t>a nonprofit medical service cor</w:t>
      </w:r>
      <w:r w:rsidR="00C157E7" w:rsidRPr="00C157E7">
        <w:rPr>
          <w:rFonts w:ascii="Times New Roman" w:hAnsi="Times New Roman"/>
          <w:color w:val="000000" w:themeColor="text1"/>
          <w:sz w:val="24"/>
          <w:szCs w:val="24"/>
        </w:rPr>
        <w:t xml:space="preserve">poration licensed under </w:t>
      </w:r>
      <w:r w:rsidR="00E91AAD">
        <w:rPr>
          <w:rFonts w:ascii="Times New Roman" w:hAnsi="Times New Roman"/>
          <w:color w:val="000000" w:themeColor="text1"/>
          <w:sz w:val="24"/>
          <w:szCs w:val="24"/>
        </w:rPr>
        <w:t>M.G.L. c.</w:t>
      </w:r>
      <w:r w:rsidR="00E91AAD" w:rsidRPr="00C157E7">
        <w:rPr>
          <w:rFonts w:ascii="Times New Roman" w:hAnsi="Times New Roman"/>
          <w:color w:val="000000" w:themeColor="text1"/>
          <w:sz w:val="24"/>
          <w:szCs w:val="24"/>
        </w:rPr>
        <w:t xml:space="preserve"> </w:t>
      </w:r>
      <w:r w:rsidR="00C157E7" w:rsidRPr="00C157E7">
        <w:rPr>
          <w:rFonts w:ascii="Times New Roman" w:hAnsi="Times New Roman"/>
          <w:color w:val="000000" w:themeColor="text1"/>
          <w:sz w:val="24"/>
          <w:szCs w:val="24"/>
        </w:rPr>
        <w:t xml:space="preserve">176B, a dental service corporation organized under </w:t>
      </w:r>
      <w:r w:rsidR="00E91AAD">
        <w:rPr>
          <w:rFonts w:ascii="Times New Roman" w:hAnsi="Times New Roman"/>
          <w:color w:val="000000" w:themeColor="text1"/>
          <w:sz w:val="24"/>
          <w:szCs w:val="24"/>
        </w:rPr>
        <w:t>M.G.L. c.</w:t>
      </w:r>
      <w:r w:rsidR="00E91AAD" w:rsidRPr="00C157E7">
        <w:rPr>
          <w:rFonts w:ascii="Times New Roman" w:hAnsi="Times New Roman"/>
          <w:color w:val="000000" w:themeColor="text1"/>
          <w:sz w:val="24"/>
          <w:szCs w:val="24"/>
        </w:rPr>
        <w:t xml:space="preserve"> </w:t>
      </w:r>
      <w:r w:rsidR="00C157E7" w:rsidRPr="00C157E7">
        <w:rPr>
          <w:rFonts w:ascii="Times New Roman" w:hAnsi="Times New Roman"/>
          <w:color w:val="000000" w:themeColor="text1"/>
          <w:sz w:val="24"/>
          <w:szCs w:val="24"/>
        </w:rPr>
        <w:t>176E, an optometric service corporation o</w:t>
      </w:r>
      <w:r w:rsidR="00C157E7">
        <w:rPr>
          <w:rFonts w:ascii="Times New Roman" w:hAnsi="Times New Roman"/>
          <w:color w:val="000000" w:themeColor="text1"/>
          <w:sz w:val="24"/>
          <w:szCs w:val="24"/>
        </w:rPr>
        <w:t xml:space="preserve">rganized under </w:t>
      </w:r>
      <w:r w:rsidR="00B95D48">
        <w:rPr>
          <w:rFonts w:ascii="Times New Roman" w:hAnsi="Times New Roman"/>
          <w:color w:val="000000" w:themeColor="text1"/>
          <w:sz w:val="24"/>
          <w:szCs w:val="24"/>
        </w:rPr>
        <w:t>M.G.</w:t>
      </w:r>
      <w:r w:rsidR="00EF1C63">
        <w:rPr>
          <w:rFonts w:ascii="Times New Roman" w:hAnsi="Times New Roman"/>
          <w:color w:val="000000" w:themeColor="text1"/>
          <w:sz w:val="24"/>
          <w:szCs w:val="24"/>
        </w:rPr>
        <w:t>L</w:t>
      </w:r>
      <w:r w:rsidR="00595887">
        <w:rPr>
          <w:rFonts w:ascii="Times New Roman" w:hAnsi="Times New Roman"/>
          <w:color w:val="000000" w:themeColor="text1"/>
          <w:sz w:val="24"/>
          <w:szCs w:val="24"/>
        </w:rPr>
        <w:t>.</w:t>
      </w:r>
      <w:r w:rsidR="00097623">
        <w:rPr>
          <w:rFonts w:ascii="Times New Roman" w:hAnsi="Times New Roman"/>
          <w:color w:val="000000" w:themeColor="text1"/>
          <w:sz w:val="24"/>
          <w:szCs w:val="24"/>
        </w:rPr>
        <w:t xml:space="preserve"> </w:t>
      </w:r>
      <w:r w:rsidR="00595887">
        <w:rPr>
          <w:rFonts w:ascii="Times New Roman" w:hAnsi="Times New Roman"/>
          <w:color w:val="000000" w:themeColor="text1"/>
          <w:sz w:val="24"/>
          <w:szCs w:val="24"/>
        </w:rPr>
        <w:t>c.</w:t>
      </w:r>
      <w:r w:rsidR="00C157E7">
        <w:rPr>
          <w:rFonts w:ascii="Times New Roman" w:hAnsi="Times New Roman"/>
          <w:color w:val="000000" w:themeColor="text1"/>
          <w:sz w:val="24"/>
          <w:szCs w:val="24"/>
        </w:rPr>
        <w:t xml:space="preserve"> 176F, a Self-</w:t>
      </w:r>
      <w:r w:rsidR="00E91AAD">
        <w:rPr>
          <w:rFonts w:ascii="Times New Roman" w:hAnsi="Times New Roman"/>
          <w:color w:val="000000" w:themeColor="text1"/>
          <w:sz w:val="24"/>
          <w:szCs w:val="24"/>
        </w:rPr>
        <w:t>i</w:t>
      </w:r>
      <w:r w:rsidR="00C157E7" w:rsidRPr="00C157E7">
        <w:rPr>
          <w:rFonts w:ascii="Times New Roman" w:hAnsi="Times New Roman"/>
          <w:color w:val="000000" w:themeColor="text1"/>
          <w:sz w:val="24"/>
          <w:szCs w:val="24"/>
        </w:rPr>
        <w:t>nsured</w:t>
      </w:r>
      <w:r w:rsidR="00C157E7">
        <w:rPr>
          <w:rFonts w:ascii="Times New Roman" w:hAnsi="Times New Roman"/>
          <w:color w:val="000000" w:themeColor="text1"/>
          <w:sz w:val="24"/>
          <w:szCs w:val="24"/>
        </w:rPr>
        <w:t xml:space="preserve"> Health Plan, a Third-</w:t>
      </w:r>
      <w:r w:rsidR="00E91AAD">
        <w:rPr>
          <w:rFonts w:ascii="Times New Roman" w:hAnsi="Times New Roman"/>
          <w:color w:val="000000" w:themeColor="text1"/>
          <w:sz w:val="24"/>
          <w:szCs w:val="24"/>
        </w:rPr>
        <w:t>p</w:t>
      </w:r>
      <w:r w:rsidR="00C157E7">
        <w:rPr>
          <w:rFonts w:ascii="Times New Roman" w:hAnsi="Times New Roman"/>
          <w:color w:val="000000" w:themeColor="text1"/>
          <w:sz w:val="24"/>
          <w:szCs w:val="24"/>
        </w:rPr>
        <w:t>arty A</w:t>
      </w:r>
      <w:r w:rsidR="00C157E7" w:rsidRPr="00C157E7">
        <w:rPr>
          <w:rFonts w:ascii="Times New Roman" w:hAnsi="Times New Roman"/>
          <w:color w:val="000000" w:themeColor="text1"/>
          <w:sz w:val="24"/>
          <w:szCs w:val="24"/>
        </w:rPr>
        <w:t xml:space="preserve">dministrator, or a health maintenance organization licensed under </w:t>
      </w:r>
      <w:r w:rsidR="00E91AAD">
        <w:rPr>
          <w:rFonts w:ascii="Times New Roman" w:hAnsi="Times New Roman"/>
          <w:color w:val="000000" w:themeColor="text1"/>
          <w:sz w:val="24"/>
          <w:szCs w:val="24"/>
        </w:rPr>
        <w:t>M.G.L. c.</w:t>
      </w:r>
      <w:r w:rsidR="00E91AAD" w:rsidRPr="00C157E7">
        <w:rPr>
          <w:rFonts w:ascii="Times New Roman" w:hAnsi="Times New Roman"/>
          <w:color w:val="000000" w:themeColor="text1"/>
          <w:sz w:val="24"/>
          <w:szCs w:val="24"/>
        </w:rPr>
        <w:t xml:space="preserve"> </w:t>
      </w:r>
      <w:r w:rsidR="00C157E7" w:rsidRPr="00C157E7">
        <w:rPr>
          <w:rFonts w:ascii="Times New Roman" w:hAnsi="Times New Roman"/>
          <w:color w:val="000000" w:themeColor="text1"/>
          <w:sz w:val="24"/>
          <w:szCs w:val="24"/>
        </w:rPr>
        <w:t>176G</w:t>
      </w:r>
      <w:r w:rsidR="009A1BD7">
        <w:rPr>
          <w:rFonts w:ascii="Times New Roman" w:hAnsi="Times New Roman"/>
          <w:color w:val="000000" w:themeColor="text1"/>
          <w:sz w:val="24"/>
          <w:szCs w:val="24"/>
        </w:rPr>
        <w:t>.</w:t>
      </w:r>
    </w:p>
    <w:p w14:paraId="2BFDB691" w14:textId="77777777" w:rsidR="000C5F23" w:rsidRPr="00A25CAD" w:rsidRDefault="005E7043">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lastRenderedPageBreak/>
        <w:t>Product Type</w:t>
      </w:r>
      <w:r w:rsidRPr="00A25CAD">
        <w:rPr>
          <w:rFonts w:ascii="Times New Roman" w:hAnsi="Times New Roman"/>
          <w:color w:val="000000" w:themeColor="text1"/>
          <w:sz w:val="24"/>
          <w:szCs w:val="24"/>
        </w:rPr>
        <w:t xml:space="preserve">. A mutually exclusive breakdown of Private Commercial Plans into </w:t>
      </w:r>
      <w:r w:rsidR="008A2233">
        <w:rPr>
          <w:rFonts w:ascii="Times New Roman" w:hAnsi="Times New Roman"/>
          <w:color w:val="000000" w:themeColor="text1"/>
          <w:sz w:val="24"/>
          <w:szCs w:val="24"/>
        </w:rPr>
        <w:t xml:space="preserve">categories including but not limited to </w:t>
      </w:r>
      <w:r w:rsidRPr="00A25CAD">
        <w:rPr>
          <w:rFonts w:ascii="Times New Roman" w:hAnsi="Times New Roman"/>
          <w:color w:val="000000" w:themeColor="text1"/>
          <w:sz w:val="24"/>
          <w:szCs w:val="24"/>
        </w:rPr>
        <w:t>those with closed networks of providers, those with preferred networks of providers, and those without networks of preferred providers.</w:t>
      </w:r>
    </w:p>
    <w:p w14:paraId="2BFDB692" w14:textId="77777777" w:rsidR="00B81FEE" w:rsidRPr="00A25CAD" w:rsidRDefault="00B81FEE" w:rsidP="00B81FEE">
      <w:pPr>
        <w:tabs>
          <w:tab w:val="left" w:pos="720"/>
        </w:tabs>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Rating Factors</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Factors that are ap</w:t>
      </w:r>
      <w:r w:rsidR="00712497" w:rsidRPr="00A25CAD">
        <w:rPr>
          <w:rFonts w:ascii="Times New Roman" w:hAnsi="Times New Roman"/>
          <w:color w:val="000000" w:themeColor="text1"/>
          <w:sz w:val="24"/>
          <w:szCs w:val="24"/>
        </w:rPr>
        <w:t>plied to base rates to develop Health Insurance P</w:t>
      </w:r>
      <w:r w:rsidRPr="00A25CAD">
        <w:rPr>
          <w:rFonts w:ascii="Times New Roman" w:hAnsi="Times New Roman"/>
          <w:color w:val="000000" w:themeColor="text1"/>
          <w:sz w:val="24"/>
          <w:szCs w:val="24"/>
        </w:rPr>
        <w:t xml:space="preserve">remiums, including but not limited to age/gender, area, group size, retention, and contract type.  </w:t>
      </w:r>
    </w:p>
    <w:p w14:paraId="2BFDB693" w14:textId="77777777" w:rsidR="00D22DE6" w:rsidRDefault="00D22DE6" w:rsidP="00CC7F6E">
      <w:pPr>
        <w:ind w:firstLine="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Reporting Year</w:t>
      </w:r>
      <w:r w:rsidRPr="00A25CAD">
        <w:rPr>
          <w:rFonts w:ascii="Times New Roman" w:hAnsi="Times New Roman"/>
          <w:color w:val="000000" w:themeColor="text1"/>
          <w:sz w:val="24"/>
          <w:szCs w:val="24"/>
        </w:rPr>
        <w:t>. The Calendar Yea</w:t>
      </w:r>
      <w:r w:rsidR="009C4AA6">
        <w:rPr>
          <w:rFonts w:ascii="Times New Roman" w:hAnsi="Times New Roman"/>
          <w:color w:val="000000" w:themeColor="text1"/>
          <w:sz w:val="24"/>
          <w:szCs w:val="24"/>
        </w:rPr>
        <w:t>r in which the Payer reports.</w:t>
      </w:r>
    </w:p>
    <w:p w14:paraId="2BFDB694" w14:textId="77777777" w:rsidR="00C04AD3" w:rsidRPr="00A25CAD" w:rsidRDefault="00C04AD3" w:rsidP="00C04AD3">
      <w:pPr>
        <w:ind w:left="720"/>
        <w:rPr>
          <w:rFonts w:ascii="Times New Roman" w:hAnsi="Times New Roman"/>
          <w:color w:val="000000" w:themeColor="text1"/>
          <w:sz w:val="24"/>
          <w:szCs w:val="24"/>
        </w:rPr>
      </w:pPr>
      <w:r w:rsidRPr="00522584">
        <w:rPr>
          <w:rFonts w:ascii="Times New Roman" w:hAnsi="Times New Roman"/>
          <w:color w:val="000000" w:themeColor="text1"/>
          <w:sz w:val="24"/>
          <w:szCs w:val="24"/>
          <w:u w:val="single"/>
        </w:rPr>
        <w:t>Self-</w:t>
      </w:r>
      <w:r w:rsidR="00E91AAD">
        <w:rPr>
          <w:rFonts w:ascii="Times New Roman" w:hAnsi="Times New Roman"/>
          <w:color w:val="000000" w:themeColor="text1"/>
          <w:sz w:val="24"/>
          <w:szCs w:val="24"/>
          <w:u w:val="single"/>
        </w:rPr>
        <w:t>i</w:t>
      </w:r>
      <w:r w:rsidRPr="00522584">
        <w:rPr>
          <w:rFonts w:ascii="Times New Roman" w:hAnsi="Times New Roman"/>
          <w:color w:val="000000" w:themeColor="text1"/>
          <w:sz w:val="24"/>
          <w:szCs w:val="24"/>
          <w:u w:val="single"/>
        </w:rPr>
        <w:t>nsured Health Plan.</w:t>
      </w:r>
      <w:r w:rsidRPr="00522584">
        <w:rPr>
          <w:rFonts w:ascii="Times New Roman" w:hAnsi="Times New Roman"/>
          <w:color w:val="000000" w:themeColor="text1"/>
          <w:sz w:val="24"/>
          <w:szCs w:val="24"/>
        </w:rPr>
        <w:t xml:space="preserve"> A plan which provides health benefits to the employees of a</w:t>
      </w:r>
      <w:r w:rsidR="00256031">
        <w:rPr>
          <w:rFonts w:ascii="Times New Roman" w:hAnsi="Times New Roman"/>
          <w:color w:val="000000" w:themeColor="text1"/>
          <w:sz w:val="24"/>
          <w:szCs w:val="24"/>
        </w:rPr>
        <w:t>n</w:t>
      </w:r>
      <w:r w:rsidRPr="00522584">
        <w:rPr>
          <w:rFonts w:ascii="Times New Roman" w:hAnsi="Times New Roman"/>
          <w:color w:val="000000" w:themeColor="text1"/>
          <w:sz w:val="24"/>
          <w:szCs w:val="24"/>
        </w:rPr>
        <w:t xml:space="preserve"> </w:t>
      </w:r>
      <w:r w:rsidR="00256031">
        <w:rPr>
          <w:rFonts w:ascii="Times New Roman" w:hAnsi="Times New Roman"/>
          <w:color w:val="000000" w:themeColor="text1"/>
          <w:sz w:val="24"/>
          <w:szCs w:val="24"/>
        </w:rPr>
        <w:t>employer</w:t>
      </w:r>
      <w:r w:rsidRPr="00522584">
        <w:rPr>
          <w:rFonts w:ascii="Times New Roman" w:hAnsi="Times New Roman"/>
          <w:color w:val="000000" w:themeColor="text1"/>
          <w:sz w:val="24"/>
          <w:szCs w:val="24"/>
        </w:rPr>
        <w:t xml:space="preserve">, which is not a health insurance plan, and in which the </w:t>
      </w:r>
      <w:r w:rsidR="00522584">
        <w:rPr>
          <w:rFonts w:ascii="Times New Roman" w:hAnsi="Times New Roman"/>
          <w:color w:val="000000" w:themeColor="text1"/>
          <w:sz w:val="24"/>
          <w:szCs w:val="24"/>
        </w:rPr>
        <w:t xml:space="preserve">employer </w:t>
      </w:r>
      <w:r w:rsidRPr="00522584">
        <w:rPr>
          <w:rFonts w:ascii="Times New Roman" w:hAnsi="Times New Roman"/>
          <w:color w:val="000000" w:themeColor="text1"/>
          <w:sz w:val="24"/>
          <w:szCs w:val="24"/>
        </w:rPr>
        <w:t xml:space="preserve">is liable for the actual costs of the Health Care Services provided by the plan and </w:t>
      </w:r>
      <w:r w:rsidR="00D742A8" w:rsidRPr="00522584">
        <w:rPr>
          <w:rFonts w:ascii="Times New Roman" w:hAnsi="Times New Roman"/>
          <w:color w:val="000000" w:themeColor="text1"/>
          <w:sz w:val="24"/>
          <w:szCs w:val="24"/>
        </w:rPr>
        <w:t>Administrative Service Fees</w:t>
      </w:r>
      <w:r w:rsidRPr="00522584">
        <w:rPr>
          <w:rFonts w:ascii="Times New Roman" w:hAnsi="Times New Roman"/>
          <w:color w:val="000000" w:themeColor="text1"/>
          <w:sz w:val="24"/>
          <w:szCs w:val="24"/>
        </w:rPr>
        <w:t>.</w:t>
      </w:r>
    </w:p>
    <w:p w14:paraId="2BFDB695" w14:textId="77777777" w:rsidR="00E418F0" w:rsidRPr="00A25CAD" w:rsidRDefault="00E418F0" w:rsidP="00CC7F6E">
      <w:pPr>
        <w:ind w:left="72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Third-</w:t>
      </w:r>
      <w:r w:rsidR="00E91AAD">
        <w:rPr>
          <w:rFonts w:ascii="Times New Roman" w:hAnsi="Times New Roman"/>
          <w:color w:val="000000" w:themeColor="text1"/>
          <w:sz w:val="24"/>
          <w:szCs w:val="24"/>
          <w:u w:val="single"/>
        </w:rPr>
        <w:t>p</w:t>
      </w:r>
      <w:r w:rsidRPr="00A25CAD">
        <w:rPr>
          <w:rFonts w:ascii="Times New Roman" w:hAnsi="Times New Roman"/>
          <w:color w:val="000000" w:themeColor="text1"/>
          <w:sz w:val="24"/>
          <w:szCs w:val="24"/>
          <w:u w:val="single"/>
        </w:rPr>
        <w:t>arty Administrator</w:t>
      </w:r>
      <w:r w:rsidRPr="00131F92">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Any person or entity that receives or collects charges</w:t>
      </w:r>
      <w:r w:rsidR="00D742A8">
        <w:rPr>
          <w:rFonts w:ascii="Times New Roman" w:hAnsi="Times New Roman"/>
          <w:color w:val="000000" w:themeColor="text1"/>
          <w:sz w:val="24"/>
          <w:szCs w:val="24"/>
        </w:rPr>
        <w:t xml:space="preserve"> or</w:t>
      </w:r>
      <w:r w:rsidR="00D742A8" w:rsidRPr="00A25CAD">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 xml:space="preserve">contributions for, or adjusts or settles claims for, </w:t>
      </w:r>
      <w:r w:rsidR="00C157E7">
        <w:rPr>
          <w:rFonts w:ascii="Times New Roman" w:hAnsi="Times New Roman"/>
          <w:color w:val="000000" w:themeColor="text1"/>
          <w:sz w:val="24"/>
          <w:szCs w:val="24"/>
        </w:rPr>
        <w:t>Self-Insured Health Plans with contract situs in Massachusetts</w:t>
      </w:r>
      <w:r w:rsidR="00813D39">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w:t>
      </w:r>
    </w:p>
    <w:p w14:paraId="2BFDB696" w14:textId="77777777" w:rsidR="00536599" w:rsidRPr="00A25CAD" w:rsidRDefault="00536599" w:rsidP="00CC7F6E">
      <w:pPr>
        <w:ind w:left="720"/>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t>Website</w:t>
      </w:r>
      <w:r w:rsidRPr="00131F92">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 xml:space="preserve"> The website of the Center for Health Information and Analysis located at </w:t>
      </w:r>
      <w:r w:rsidRPr="00B95D48">
        <w:rPr>
          <w:rFonts w:ascii="Times New Roman" w:hAnsi="Times New Roman"/>
          <w:color w:val="000000" w:themeColor="text1"/>
          <w:sz w:val="24"/>
          <w:szCs w:val="24"/>
          <w:u w:val="single"/>
        </w:rPr>
        <w:t>www.chiamass.gov</w:t>
      </w:r>
      <w:r w:rsidRPr="00A25CAD">
        <w:rPr>
          <w:rFonts w:ascii="Times New Roman" w:hAnsi="Times New Roman"/>
          <w:color w:val="000000" w:themeColor="text1"/>
          <w:sz w:val="24"/>
          <w:szCs w:val="24"/>
        </w:rPr>
        <w:t>.</w:t>
      </w:r>
    </w:p>
    <w:p w14:paraId="2BFDB697" w14:textId="77777777" w:rsidR="00631306" w:rsidRPr="00A25CAD" w:rsidRDefault="0011041C" w:rsidP="00631306">
      <w:pPr>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t>10</w:t>
      </w:r>
      <w:r w:rsidR="00631306" w:rsidRPr="00A25CAD">
        <w:rPr>
          <w:rFonts w:ascii="Times New Roman" w:hAnsi="Times New Roman"/>
          <w:color w:val="000000" w:themeColor="text1"/>
          <w:sz w:val="24"/>
          <w:szCs w:val="24"/>
          <w:u w:val="single"/>
        </w:rPr>
        <w:t>.0</w:t>
      </w:r>
      <w:r w:rsidR="007F6FAD" w:rsidRPr="00A25CAD">
        <w:rPr>
          <w:rFonts w:ascii="Times New Roman" w:hAnsi="Times New Roman"/>
          <w:color w:val="000000" w:themeColor="text1"/>
          <w:sz w:val="24"/>
          <w:szCs w:val="24"/>
          <w:u w:val="single"/>
        </w:rPr>
        <w:t>3</w:t>
      </w:r>
      <w:r w:rsidR="00631306" w:rsidRPr="00A25CAD">
        <w:rPr>
          <w:rFonts w:ascii="Times New Roman" w:hAnsi="Times New Roman"/>
          <w:color w:val="000000" w:themeColor="text1"/>
          <w:sz w:val="24"/>
          <w:szCs w:val="24"/>
          <w:u w:val="single"/>
        </w:rPr>
        <w:t>:</w:t>
      </w:r>
      <w:r w:rsidR="00631306" w:rsidRPr="00A25CAD">
        <w:rPr>
          <w:rFonts w:ascii="Times New Roman" w:hAnsi="Times New Roman"/>
          <w:color w:val="000000" w:themeColor="text1"/>
          <w:sz w:val="24"/>
          <w:szCs w:val="24"/>
          <w:u w:val="single"/>
        </w:rPr>
        <w:tab/>
      </w:r>
      <w:r w:rsidR="00A635A6" w:rsidRPr="00A25CAD">
        <w:rPr>
          <w:rFonts w:ascii="Times New Roman" w:hAnsi="Times New Roman"/>
          <w:color w:val="000000" w:themeColor="text1"/>
          <w:sz w:val="24"/>
          <w:szCs w:val="24"/>
          <w:u w:val="single"/>
        </w:rPr>
        <w:t>Reporting</w:t>
      </w:r>
      <w:r w:rsidR="00631306" w:rsidRPr="00A25CAD">
        <w:rPr>
          <w:rFonts w:ascii="Times New Roman" w:hAnsi="Times New Roman"/>
          <w:color w:val="000000" w:themeColor="text1"/>
          <w:sz w:val="24"/>
          <w:szCs w:val="24"/>
          <w:u w:val="single"/>
        </w:rPr>
        <w:t xml:space="preserve"> Requirements</w:t>
      </w:r>
    </w:p>
    <w:p w14:paraId="2BFDB698" w14:textId="77777777" w:rsidR="00850BDB" w:rsidRPr="00B95D48" w:rsidRDefault="00C757E2" w:rsidP="00B95D48">
      <w:pPr>
        <w:pStyle w:val="ListParagraph"/>
        <w:numPr>
          <w:ilvl w:val="0"/>
          <w:numId w:val="17"/>
        </w:numPr>
        <w:tabs>
          <w:tab w:val="left" w:pos="720"/>
        </w:tabs>
        <w:autoSpaceDE w:val="0"/>
        <w:autoSpaceDN w:val="0"/>
        <w:adjustRightInd w:val="0"/>
        <w:spacing w:after="0" w:line="240" w:lineRule="auto"/>
        <w:contextualSpacing/>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Payer</w:t>
      </w:r>
      <w:r w:rsidR="00FA53F3" w:rsidRPr="00A25CAD">
        <w:rPr>
          <w:rFonts w:ascii="Times New Roman" w:hAnsi="Times New Roman"/>
          <w:color w:val="000000" w:themeColor="text1"/>
          <w:sz w:val="24"/>
          <w:szCs w:val="24"/>
          <w:u w:val="single"/>
        </w:rPr>
        <w:t xml:space="preserve"> </w:t>
      </w:r>
      <w:r w:rsidR="004419CE" w:rsidRPr="00A25CAD">
        <w:rPr>
          <w:rFonts w:ascii="Times New Roman" w:hAnsi="Times New Roman"/>
          <w:color w:val="000000" w:themeColor="text1"/>
          <w:sz w:val="24"/>
          <w:szCs w:val="24"/>
          <w:u w:val="single"/>
        </w:rPr>
        <w:t xml:space="preserve">Membership </w:t>
      </w:r>
      <w:r w:rsidR="00FA53F3" w:rsidRPr="00A25CAD">
        <w:rPr>
          <w:rFonts w:ascii="Times New Roman" w:hAnsi="Times New Roman"/>
          <w:color w:val="000000" w:themeColor="text1"/>
          <w:sz w:val="24"/>
          <w:szCs w:val="24"/>
          <w:u w:val="single"/>
        </w:rPr>
        <w:t>Reporting Requirements</w:t>
      </w:r>
      <w:r w:rsidR="001B7FF4" w:rsidRPr="00A25CAD">
        <w:rPr>
          <w:rFonts w:ascii="Times New Roman" w:hAnsi="Times New Roman"/>
          <w:color w:val="000000" w:themeColor="text1"/>
          <w:sz w:val="24"/>
          <w:szCs w:val="24"/>
        </w:rPr>
        <w:t>. All Payers shall provide</w:t>
      </w:r>
      <w:r w:rsidR="005215D9" w:rsidRPr="00A25CAD">
        <w:rPr>
          <w:rFonts w:ascii="Times New Roman" w:hAnsi="Times New Roman"/>
          <w:color w:val="000000" w:themeColor="text1"/>
          <w:sz w:val="24"/>
          <w:szCs w:val="24"/>
        </w:rPr>
        <w:t xml:space="preserve"> aggregate</w:t>
      </w:r>
      <w:r w:rsidR="00EC423F" w:rsidRPr="00A25CAD">
        <w:rPr>
          <w:rFonts w:ascii="Times New Roman" w:hAnsi="Times New Roman"/>
          <w:color w:val="000000" w:themeColor="text1"/>
          <w:sz w:val="24"/>
          <w:szCs w:val="24"/>
        </w:rPr>
        <w:t xml:space="preserve"> </w:t>
      </w:r>
      <w:r w:rsidR="001A3882" w:rsidRPr="00A25CAD">
        <w:rPr>
          <w:rFonts w:ascii="Times New Roman" w:hAnsi="Times New Roman"/>
          <w:color w:val="000000" w:themeColor="text1"/>
          <w:sz w:val="24"/>
          <w:szCs w:val="24"/>
        </w:rPr>
        <w:t>Member Months</w:t>
      </w:r>
      <w:r w:rsidR="00F54CBC" w:rsidRPr="00A25CAD">
        <w:rPr>
          <w:rFonts w:ascii="Times New Roman" w:hAnsi="Times New Roman"/>
          <w:color w:val="000000" w:themeColor="text1"/>
          <w:sz w:val="24"/>
          <w:szCs w:val="24"/>
        </w:rPr>
        <w:t xml:space="preserve"> </w:t>
      </w:r>
      <w:r w:rsidR="00B37851" w:rsidRPr="00A25CAD">
        <w:rPr>
          <w:rFonts w:ascii="Times New Roman" w:hAnsi="Times New Roman"/>
          <w:color w:val="000000" w:themeColor="text1"/>
          <w:sz w:val="24"/>
          <w:szCs w:val="24"/>
        </w:rPr>
        <w:t xml:space="preserve">data </w:t>
      </w:r>
      <w:r w:rsidR="00F54CBC" w:rsidRPr="00A25CAD">
        <w:rPr>
          <w:rFonts w:ascii="Times New Roman" w:hAnsi="Times New Roman"/>
          <w:color w:val="000000" w:themeColor="text1"/>
          <w:sz w:val="24"/>
          <w:szCs w:val="24"/>
        </w:rPr>
        <w:t xml:space="preserve">for the </w:t>
      </w:r>
      <w:r w:rsidR="00A1662F">
        <w:rPr>
          <w:rFonts w:ascii="Times New Roman" w:hAnsi="Times New Roman"/>
          <w:color w:val="000000" w:themeColor="text1"/>
          <w:sz w:val="24"/>
          <w:szCs w:val="24"/>
        </w:rPr>
        <w:t xml:space="preserve">previous </w:t>
      </w:r>
      <w:r w:rsidR="0043601D" w:rsidRPr="00A25CAD">
        <w:rPr>
          <w:rFonts w:ascii="Times New Roman" w:hAnsi="Times New Roman"/>
          <w:color w:val="000000" w:themeColor="text1"/>
          <w:sz w:val="24"/>
          <w:szCs w:val="24"/>
        </w:rPr>
        <w:t xml:space="preserve">three </w:t>
      </w:r>
      <w:r w:rsidR="00F54CBC" w:rsidRPr="00A25CAD">
        <w:rPr>
          <w:rFonts w:ascii="Times New Roman" w:hAnsi="Times New Roman"/>
          <w:color w:val="000000" w:themeColor="text1"/>
          <w:sz w:val="24"/>
          <w:szCs w:val="24"/>
        </w:rPr>
        <w:t>Calendar Year</w:t>
      </w:r>
      <w:r w:rsidR="0043601D" w:rsidRPr="00A25CAD">
        <w:rPr>
          <w:rFonts w:ascii="Times New Roman" w:hAnsi="Times New Roman"/>
          <w:color w:val="000000" w:themeColor="text1"/>
          <w:sz w:val="24"/>
          <w:szCs w:val="24"/>
        </w:rPr>
        <w:t>s</w:t>
      </w:r>
      <w:r w:rsidR="001A3882" w:rsidRPr="00A25CAD">
        <w:rPr>
          <w:rFonts w:ascii="Times New Roman" w:hAnsi="Times New Roman"/>
          <w:color w:val="000000" w:themeColor="text1"/>
          <w:sz w:val="24"/>
          <w:szCs w:val="24"/>
        </w:rPr>
        <w:t xml:space="preserve"> </w:t>
      </w:r>
      <w:r w:rsidR="001B7FF4" w:rsidRPr="00A25CAD">
        <w:rPr>
          <w:rFonts w:ascii="Times New Roman" w:hAnsi="Times New Roman"/>
          <w:color w:val="000000" w:themeColor="text1"/>
          <w:sz w:val="24"/>
          <w:szCs w:val="24"/>
        </w:rPr>
        <w:t xml:space="preserve">for all </w:t>
      </w:r>
      <w:r w:rsidR="00B20B22" w:rsidRPr="00A25CAD">
        <w:rPr>
          <w:rFonts w:ascii="Times New Roman" w:hAnsi="Times New Roman"/>
          <w:color w:val="000000" w:themeColor="text1"/>
          <w:sz w:val="24"/>
          <w:szCs w:val="24"/>
        </w:rPr>
        <w:t xml:space="preserve">Private </w:t>
      </w:r>
      <w:r w:rsidR="005215D9" w:rsidRPr="00A25CAD">
        <w:rPr>
          <w:rFonts w:ascii="Times New Roman" w:hAnsi="Times New Roman"/>
          <w:color w:val="000000" w:themeColor="text1"/>
          <w:sz w:val="24"/>
          <w:szCs w:val="24"/>
        </w:rPr>
        <w:t>Commercial P</w:t>
      </w:r>
      <w:r w:rsidR="001B7FF4" w:rsidRPr="00A25CAD">
        <w:rPr>
          <w:rFonts w:ascii="Times New Roman" w:hAnsi="Times New Roman"/>
          <w:color w:val="000000" w:themeColor="text1"/>
          <w:sz w:val="24"/>
          <w:szCs w:val="24"/>
        </w:rPr>
        <w:t>lan</w:t>
      </w:r>
      <w:r w:rsidR="00934B22">
        <w:rPr>
          <w:rFonts w:ascii="Times New Roman" w:hAnsi="Times New Roman"/>
          <w:color w:val="000000" w:themeColor="text1"/>
          <w:sz w:val="24"/>
          <w:szCs w:val="24"/>
        </w:rPr>
        <w:t>s</w:t>
      </w:r>
      <w:r w:rsidR="000B6A2A">
        <w:rPr>
          <w:rFonts w:ascii="Times New Roman" w:hAnsi="Times New Roman"/>
          <w:color w:val="000000" w:themeColor="text1"/>
          <w:sz w:val="24"/>
          <w:szCs w:val="24"/>
        </w:rPr>
        <w:t xml:space="preserve"> </w:t>
      </w:r>
      <w:r w:rsidR="00B37851" w:rsidRPr="00A25CAD">
        <w:rPr>
          <w:rFonts w:ascii="Times New Roman" w:hAnsi="Times New Roman"/>
          <w:color w:val="000000" w:themeColor="text1"/>
          <w:sz w:val="24"/>
          <w:szCs w:val="24"/>
        </w:rPr>
        <w:t>by but not limited to the following classifications:</w:t>
      </w:r>
    </w:p>
    <w:p w14:paraId="2BFDB699" w14:textId="77777777" w:rsidR="009557E5" w:rsidRPr="00A25CAD" w:rsidRDefault="00F54CBC" w:rsidP="009557E5">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Insurance Funding Type</w:t>
      </w:r>
      <w:r w:rsidR="009557E5" w:rsidRPr="00A25CAD">
        <w:rPr>
          <w:rFonts w:ascii="Times New Roman" w:hAnsi="Times New Roman"/>
          <w:color w:val="000000" w:themeColor="text1"/>
          <w:sz w:val="24"/>
          <w:szCs w:val="24"/>
        </w:rPr>
        <w:t>;</w:t>
      </w:r>
    </w:p>
    <w:p w14:paraId="2BFDB69A" w14:textId="77777777" w:rsidR="00F54CBC" w:rsidRPr="00A25CAD" w:rsidRDefault="00126F79" w:rsidP="009557E5">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Product Type</w:t>
      </w:r>
      <w:r w:rsidR="00F54CBC" w:rsidRPr="00A25CAD">
        <w:rPr>
          <w:rFonts w:ascii="Times New Roman" w:hAnsi="Times New Roman"/>
          <w:color w:val="000000" w:themeColor="text1"/>
          <w:sz w:val="24"/>
          <w:szCs w:val="24"/>
        </w:rPr>
        <w:t>;</w:t>
      </w:r>
    </w:p>
    <w:p w14:paraId="2BFDB69B" w14:textId="77777777" w:rsidR="00F54CBC" w:rsidRPr="00A25CAD" w:rsidRDefault="00126F79" w:rsidP="009557E5">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Benefit Design</w:t>
      </w:r>
      <w:r w:rsidR="00F54CBC" w:rsidRPr="00A25CAD">
        <w:rPr>
          <w:rFonts w:ascii="Times New Roman" w:hAnsi="Times New Roman"/>
          <w:color w:val="000000" w:themeColor="text1"/>
          <w:sz w:val="24"/>
          <w:szCs w:val="24"/>
        </w:rPr>
        <w:t xml:space="preserve"> Type;</w:t>
      </w:r>
    </w:p>
    <w:p w14:paraId="2BFDB69C" w14:textId="77777777" w:rsidR="00126F79" w:rsidRPr="00A25CAD" w:rsidRDefault="00F54CBC" w:rsidP="009557E5">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 xml:space="preserve">Geographic </w:t>
      </w:r>
      <w:r w:rsidR="00C157E7">
        <w:rPr>
          <w:rFonts w:ascii="Times New Roman" w:hAnsi="Times New Roman"/>
          <w:color w:val="000000" w:themeColor="text1"/>
          <w:sz w:val="24"/>
          <w:szCs w:val="24"/>
        </w:rPr>
        <w:t>a</w:t>
      </w:r>
      <w:r w:rsidRPr="00A25CAD">
        <w:rPr>
          <w:rFonts w:ascii="Times New Roman" w:hAnsi="Times New Roman"/>
          <w:color w:val="000000" w:themeColor="text1"/>
          <w:sz w:val="24"/>
          <w:szCs w:val="24"/>
        </w:rPr>
        <w:t>rea;</w:t>
      </w:r>
    </w:p>
    <w:p w14:paraId="2BFDB69D" w14:textId="77777777" w:rsidR="00F54CBC" w:rsidRPr="00A25CAD" w:rsidRDefault="003A0BC0" w:rsidP="009557E5">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Age and gender groupings</w:t>
      </w:r>
      <w:r w:rsidR="00126F79" w:rsidRPr="00A25CAD">
        <w:rPr>
          <w:rFonts w:ascii="Times New Roman" w:hAnsi="Times New Roman"/>
          <w:color w:val="000000" w:themeColor="text1"/>
          <w:sz w:val="24"/>
          <w:szCs w:val="24"/>
        </w:rPr>
        <w:t>; and</w:t>
      </w:r>
    </w:p>
    <w:p w14:paraId="2BFDB69E" w14:textId="77777777" w:rsidR="00AC7C87" w:rsidRPr="00A25CAD" w:rsidRDefault="008944F5" w:rsidP="00001353">
      <w:pPr>
        <w:numPr>
          <w:ilvl w:val="1"/>
          <w:numId w:val="14"/>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Average Employer S</w:t>
      </w:r>
      <w:r w:rsidR="00335BD4" w:rsidRPr="00A25CAD">
        <w:rPr>
          <w:rFonts w:ascii="Times New Roman" w:hAnsi="Times New Roman"/>
          <w:color w:val="000000" w:themeColor="text1"/>
          <w:sz w:val="24"/>
          <w:szCs w:val="24"/>
        </w:rPr>
        <w:t>ize</w:t>
      </w:r>
      <w:r w:rsidR="000B7B66" w:rsidRPr="00A25CAD">
        <w:rPr>
          <w:rFonts w:ascii="Times New Roman" w:hAnsi="Times New Roman"/>
          <w:color w:val="000000" w:themeColor="text1"/>
          <w:sz w:val="24"/>
          <w:szCs w:val="24"/>
        </w:rPr>
        <w:t>.</w:t>
      </w:r>
    </w:p>
    <w:p w14:paraId="2BFDB69F" w14:textId="77777777" w:rsidR="0081682B" w:rsidRPr="00A25CAD" w:rsidRDefault="0081682B" w:rsidP="0081682B">
      <w:pPr>
        <w:spacing w:after="0" w:line="240" w:lineRule="auto"/>
        <w:ind w:left="1080"/>
        <w:rPr>
          <w:rFonts w:ascii="Times New Roman" w:hAnsi="Times New Roman"/>
          <w:color w:val="000000" w:themeColor="text1"/>
          <w:sz w:val="24"/>
          <w:szCs w:val="24"/>
        </w:rPr>
      </w:pPr>
    </w:p>
    <w:p w14:paraId="2BFDB6A0" w14:textId="77777777" w:rsidR="004419CE" w:rsidRPr="00FC159F" w:rsidRDefault="004419CE" w:rsidP="00B95D48">
      <w:pPr>
        <w:pStyle w:val="ListParagraph"/>
        <w:numPr>
          <w:ilvl w:val="0"/>
          <w:numId w:val="17"/>
        </w:numPr>
        <w:spacing w:after="0"/>
        <w:rPr>
          <w:rFonts w:ascii="Times New Roman" w:hAnsi="Times New Roman"/>
          <w:color w:val="000000" w:themeColor="text1"/>
          <w:sz w:val="24"/>
          <w:szCs w:val="24"/>
        </w:rPr>
      </w:pPr>
      <w:r w:rsidRPr="00FC159F">
        <w:rPr>
          <w:rFonts w:ascii="Times New Roman" w:hAnsi="Times New Roman"/>
          <w:color w:val="000000" w:themeColor="text1"/>
          <w:sz w:val="24"/>
          <w:szCs w:val="24"/>
          <w:u w:val="single"/>
        </w:rPr>
        <w:t>Payer Financial Reporting</w:t>
      </w:r>
      <w:r w:rsidR="00EE0152" w:rsidRPr="00FC159F">
        <w:rPr>
          <w:rFonts w:ascii="Times New Roman" w:hAnsi="Times New Roman"/>
          <w:color w:val="000000" w:themeColor="text1"/>
          <w:sz w:val="24"/>
          <w:szCs w:val="24"/>
          <w:u w:val="single"/>
        </w:rPr>
        <w:t xml:space="preserve"> Requirements</w:t>
      </w:r>
      <w:r w:rsidR="00717733" w:rsidRPr="00FC159F">
        <w:rPr>
          <w:rFonts w:ascii="Times New Roman" w:hAnsi="Times New Roman"/>
          <w:color w:val="000000" w:themeColor="text1"/>
          <w:sz w:val="24"/>
          <w:szCs w:val="24"/>
          <w:u w:val="single"/>
        </w:rPr>
        <w:t>.</w:t>
      </w:r>
      <w:r w:rsidR="001A3882" w:rsidRPr="00A25CAD">
        <w:rPr>
          <w:rFonts w:ascii="Times New Roman" w:hAnsi="Times New Roman"/>
          <w:color w:val="000000" w:themeColor="text1"/>
          <w:sz w:val="24"/>
          <w:szCs w:val="24"/>
        </w:rPr>
        <w:t xml:space="preserve"> All Payers shall provide aggregate </w:t>
      </w:r>
      <w:r w:rsidR="00022BC6" w:rsidRPr="00A25CAD">
        <w:rPr>
          <w:rFonts w:ascii="Times New Roman" w:hAnsi="Times New Roman"/>
          <w:color w:val="000000" w:themeColor="text1"/>
          <w:sz w:val="24"/>
          <w:szCs w:val="24"/>
        </w:rPr>
        <w:t xml:space="preserve">financial </w:t>
      </w:r>
      <w:r w:rsidR="001A3882" w:rsidRPr="00A25CAD">
        <w:rPr>
          <w:rFonts w:ascii="Times New Roman" w:hAnsi="Times New Roman"/>
          <w:color w:val="000000" w:themeColor="text1"/>
          <w:sz w:val="24"/>
          <w:szCs w:val="24"/>
        </w:rPr>
        <w:t>data</w:t>
      </w:r>
      <w:r w:rsidR="00A1662F">
        <w:rPr>
          <w:rFonts w:ascii="Times New Roman" w:hAnsi="Times New Roman"/>
          <w:color w:val="000000" w:themeColor="text1"/>
          <w:sz w:val="24"/>
          <w:szCs w:val="24"/>
        </w:rPr>
        <w:t xml:space="preserve"> for the previous</w:t>
      </w:r>
      <w:r w:rsidR="0043601D" w:rsidRPr="00A25CAD">
        <w:rPr>
          <w:rFonts w:ascii="Times New Roman" w:hAnsi="Times New Roman"/>
          <w:color w:val="000000" w:themeColor="text1"/>
          <w:sz w:val="24"/>
          <w:szCs w:val="24"/>
        </w:rPr>
        <w:t xml:space="preserve"> three Calendar Years</w:t>
      </w:r>
      <w:r w:rsidR="001A3882" w:rsidRPr="00A25CAD">
        <w:rPr>
          <w:rFonts w:ascii="Times New Roman" w:hAnsi="Times New Roman"/>
          <w:color w:val="000000" w:themeColor="text1"/>
          <w:sz w:val="24"/>
          <w:szCs w:val="24"/>
        </w:rPr>
        <w:t xml:space="preserve"> by Insurance Funding Type, </w:t>
      </w:r>
      <w:r w:rsidR="00606FEB" w:rsidRPr="00A25CAD">
        <w:rPr>
          <w:rFonts w:ascii="Times New Roman" w:hAnsi="Times New Roman"/>
          <w:color w:val="000000" w:themeColor="text1"/>
          <w:sz w:val="24"/>
          <w:szCs w:val="24"/>
        </w:rPr>
        <w:t>Product Type, and Benefit Design Type</w:t>
      </w:r>
      <w:r w:rsidR="001A3882" w:rsidRPr="00A25CAD">
        <w:rPr>
          <w:rFonts w:ascii="Times New Roman" w:hAnsi="Times New Roman"/>
          <w:color w:val="000000" w:themeColor="text1"/>
          <w:sz w:val="24"/>
          <w:szCs w:val="24"/>
        </w:rPr>
        <w:t xml:space="preserve"> classifications for all </w:t>
      </w:r>
      <w:r w:rsidR="00450D5B" w:rsidRPr="00A25CAD">
        <w:rPr>
          <w:rFonts w:ascii="Times New Roman" w:hAnsi="Times New Roman"/>
          <w:color w:val="000000" w:themeColor="text1"/>
          <w:sz w:val="24"/>
          <w:szCs w:val="24"/>
        </w:rPr>
        <w:t xml:space="preserve">Private </w:t>
      </w:r>
      <w:r w:rsidR="001A3882" w:rsidRPr="00A25CAD">
        <w:rPr>
          <w:rFonts w:ascii="Times New Roman" w:hAnsi="Times New Roman"/>
          <w:color w:val="000000" w:themeColor="text1"/>
          <w:sz w:val="24"/>
          <w:szCs w:val="24"/>
        </w:rPr>
        <w:t>Commercial Plan</w:t>
      </w:r>
      <w:r w:rsidR="00934B22">
        <w:rPr>
          <w:rFonts w:ascii="Times New Roman" w:hAnsi="Times New Roman"/>
          <w:color w:val="000000" w:themeColor="text1"/>
          <w:sz w:val="24"/>
          <w:szCs w:val="24"/>
        </w:rPr>
        <w:t>s</w:t>
      </w:r>
      <w:r w:rsidR="00476341">
        <w:rPr>
          <w:rFonts w:ascii="Times New Roman" w:hAnsi="Times New Roman"/>
          <w:color w:val="000000" w:themeColor="text1"/>
          <w:sz w:val="24"/>
          <w:szCs w:val="24"/>
        </w:rPr>
        <w:t xml:space="preserve">, </w:t>
      </w:r>
      <w:r w:rsidR="001A3882" w:rsidRPr="00A25CAD">
        <w:rPr>
          <w:rFonts w:ascii="Times New Roman" w:hAnsi="Times New Roman"/>
          <w:color w:val="000000" w:themeColor="text1"/>
          <w:sz w:val="24"/>
          <w:szCs w:val="24"/>
        </w:rPr>
        <w:t>including but not limited to the following:</w:t>
      </w:r>
    </w:p>
    <w:p w14:paraId="2BFDB6A1" w14:textId="77777777" w:rsidR="00B81FEE" w:rsidRPr="00A25CAD" w:rsidRDefault="00F54CBC" w:rsidP="00F54CBC">
      <w:pPr>
        <w:numPr>
          <w:ilvl w:val="1"/>
          <w:numId w:val="17"/>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lastRenderedPageBreak/>
        <w:t xml:space="preserve">Health </w:t>
      </w:r>
      <w:r w:rsidR="00117FD9" w:rsidRPr="00A25CAD">
        <w:rPr>
          <w:rFonts w:ascii="Times New Roman" w:hAnsi="Times New Roman"/>
          <w:color w:val="000000" w:themeColor="text1"/>
          <w:sz w:val="24"/>
          <w:szCs w:val="24"/>
        </w:rPr>
        <w:t>I</w:t>
      </w:r>
      <w:r w:rsidRPr="00A25CAD">
        <w:rPr>
          <w:rFonts w:ascii="Times New Roman" w:hAnsi="Times New Roman"/>
          <w:color w:val="000000" w:themeColor="text1"/>
          <w:sz w:val="24"/>
          <w:szCs w:val="24"/>
        </w:rPr>
        <w:t xml:space="preserve">nsurance </w:t>
      </w:r>
      <w:r w:rsidR="00117FD9" w:rsidRPr="00A25CAD">
        <w:rPr>
          <w:rFonts w:ascii="Times New Roman" w:hAnsi="Times New Roman"/>
          <w:color w:val="000000" w:themeColor="text1"/>
          <w:sz w:val="24"/>
          <w:szCs w:val="24"/>
        </w:rPr>
        <w:t>P</w:t>
      </w:r>
      <w:r w:rsidRPr="00A25CAD">
        <w:rPr>
          <w:rFonts w:ascii="Times New Roman" w:hAnsi="Times New Roman"/>
          <w:color w:val="000000" w:themeColor="text1"/>
          <w:sz w:val="24"/>
          <w:szCs w:val="24"/>
        </w:rPr>
        <w:t>remiums</w:t>
      </w:r>
      <w:r w:rsidR="00B81FEE" w:rsidRPr="00A25CAD">
        <w:rPr>
          <w:rFonts w:ascii="Times New Roman" w:hAnsi="Times New Roman"/>
          <w:color w:val="000000" w:themeColor="text1"/>
          <w:sz w:val="24"/>
          <w:szCs w:val="24"/>
        </w:rPr>
        <w:t>;</w:t>
      </w:r>
    </w:p>
    <w:p w14:paraId="2BFDB6A2" w14:textId="77777777" w:rsidR="00F54CBC" w:rsidRPr="00A25CAD" w:rsidRDefault="00F54CBC" w:rsidP="00F54CBC">
      <w:pPr>
        <w:numPr>
          <w:ilvl w:val="1"/>
          <w:numId w:val="17"/>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Administrative Service Fees;</w:t>
      </w:r>
    </w:p>
    <w:p w14:paraId="2BFDB6A3" w14:textId="77777777" w:rsidR="00F54CBC" w:rsidRPr="00A25CAD" w:rsidRDefault="00F54CBC" w:rsidP="00F54CBC">
      <w:pPr>
        <w:numPr>
          <w:ilvl w:val="1"/>
          <w:numId w:val="17"/>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 xml:space="preserve">Health </w:t>
      </w:r>
      <w:r w:rsidR="004E7996">
        <w:rPr>
          <w:rFonts w:ascii="Times New Roman" w:hAnsi="Times New Roman"/>
          <w:color w:val="000000" w:themeColor="text1"/>
          <w:sz w:val="24"/>
          <w:szCs w:val="24"/>
        </w:rPr>
        <w:t>i</w:t>
      </w:r>
      <w:r w:rsidRPr="00A25CAD">
        <w:rPr>
          <w:rFonts w:ascii="Times New Roman" w:hAnsi="Times New Roman"/>
          <w:color w:val="000000" w:themeColor="text1"/>
          <w:sz w:val="24"/>
          <w:szCs w:val="24"/>
        </w:rPr>
        <w:t xml:space="preserve">nsurance claim amounts, including but  not limited to the Allowed </w:t>
      </w:r>
      <w:r w:rsidR="004E7996">
        <w:rPr>
          <w:rFonts w:ascii="Times New Roman" w:hAnsi="Times New Roman"/>
          <w:color w:val="000000" w:themeColor="text1"/>
          <w:sz w:val="24"/>
          <w:szCs w:val="24"/>
        </w:rPr>
        <w:t xml:space="preserve">Claims </w:t>
      </w:r>
      <w:r w:rsidRPr="00A25CAD">
        <w:rPr>
          <w:rFonts w:ascii="Times New Roman" w:hAnsi="Times New Roman"/>
          <w:color w:val="000000" w:themeColor="text1"/>
          <w:sz w:val="24"/>
          <w:szCs w:val="24"/>
        </w:rPr>
        <w:t>and Incurred Claim</w:t>
      </w:r>
      <w:r w:rsidR="004E7996">
        <w:rPr>
          <w:rFonts w:ascii="Times New Roman" w:hAnsi="Times New Roman"/>
          <w:color w:val="000000" w:themeColor="text1"/>
          <w:sz w:val="24"/>
          <w:szCs w:val="24"/>
        </w:rPr>
        <w:t>s</w:t>
      </w:r>
      <w:r w:rsidRPr="00A25CAD">
        <w:rPr>
          <w:rFonts w:ascii="Times New Roman" w:hAnsi="Times New Roman"/>
          <w:color w:val="000000" w:themeColor="text1"/>
          <w:sz w:val="24"/>
          <w:szCs w:val="24"/>
        </w:rPr>
        <w:t xml:space="preserve"> amounts;</w:t>
      </w:r>
      <w:r w:rsidR="005B2A94">
        <w:rPr>
          <w:rFonts w:ascii="Times New Roman" w:hAnsi="Times New Roman"/>
          <w:color w:val="000000" w:themeColor="text1"/>
          <w:sz w:val="24"/>
          <w:szCs w:val="24"/>
        </w:rPr>
        <w:t xml:space="preserve"> and</w:t>
      </w:r>
    </w:p>
    <w:p w14:paraId="2BFDB6A4" w14:textId="77777777" w:rsidR="00F54CBC" w:rsidRPr="00A25CAD" w:rsidRDefault="00911227" w:rsidP="00F54CBC">
      <w:pPr>
        <w:numPr>
          <w:ilvl w:val="1"/>
          <w:numId w:val="17"/>
        </w:numPr>
        <w:spacing w:after="0" w:line="240" w:lineRule="auto"/>
        <w:rPr>
          <w:rFonts w:ascii="Times New Roman" w:hAnsi="Times New Roman"/>
          <w:color w:val="000000" w:themeColor="text1"/>
          <w:sz w:val="24"/>
          <w:szCs w:val="24"/>
        </w:rPr>
      </w:pPr>
      <w:r w:rsidRPr="00A25CAD">
        <w:rPr>
          <w:rFonts w:ascii="Times New Roman" w:hAnsi="Times New Roman"/>
          <w:color w:val="000000" w:themeColor="text1"/>
          <w:sz w:val="24"/>
          <w:szCs w:val="24"/>
        </w:rPr>
        <w:t>Rating</w:t>
      </w:r>
      <w:r w:rsidR="00F54CBC" w:rsidRPr="00A25CAD">
        <w:rPr>
          <w:rFonts w:ascii="Times New Roman" w:hAnsi="Times New Roman"/>
          <w:color w:val="000000" w:themeColor="text1"/>
          <w:sz w:val="24"/>
          <w:szCs w:val="24"/>
        </w:rPr>
        <w:t xml:space="preserve"> </w:t>
      </w:r>
      <w:r w:rsidRPr="00A25CAD">
        <w:rPr>
          <w:rFonts w:ascii="Times New Roman" w:hAnsi="Times New Roman"/>
          <w:color w:val="000000" w:themeColor="text1"/>
          <w:sz w:val="24"/>
          <w:szCs w:val="24"/>
        </w:rPr>
        <w:t>F</w:t>
      </w:r>
      <w:r w:rsidR="005B2A94">
        <w:rPr>
          <w:rFonts w:ascii="Times New Roman" w:hAnsi="Times New Roman"/>
          <w:color w:val="000000" w:themeColor="text1"/>
          <w:sz w:val="24"/>
          <w:szCs w:val="24"/>
        </w:rPr>
        <w:t>actors.</w:t>
      </w:r>
    </w:p>
    <w:p w14:paraId="2BFDB6A5" w14:textId="77777777" w:rsidR="00F54CBC" w:rsidRPr="00FC159F" w:rsidRDefault="00F54CBC" w:rsidP="00AB2B58">
      <w:pPr>
        <w:spacing w:after="0" w:line="240" w:lineRule="auto"/>
        <w:ind w:left="1440"/>
        <w:rPr>
          <w:rFonts w:ascii="Times New Roman" w:hAnsi="Times New Roman"/>
          <w:color w:val="000000" w:themeColor="text1"/>
          <w:sz w:val="24"/>
          <w:szCs w:val="24"/>
        </w:rPr>
      </w:pPr>
    </w:p>
    <w:p w14:paraId="2BFDB6A6" w14:textId="77777777" w:rsidR="00035974" w:rsidRPr="00B95D48" w:rsidRDefault="003837EF" w:rsidP="00B95D48">
      <w:pPr>
        <w:pStyle w:val="ListParagraph"/>
        <w:numPr>
          <w:ilvl w:val="0"/>
          <w:numId w:val="17"/>
        </w:numPr>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 xml:space="preserve">Payers </w:t>
      </w:r>
      <w:r w:rsidR="00537E37" w:rsidRPr="00A25CAD">
        <w:rPr>
          <w:rFonts w:ascii="Times New Roman" w:hAnsi="Times New Roman"/>
          <w:color w:val="000000" w:themeColor="text1"/>
          <w:sz w:val="24"/>
          <w:szCs w:val="24"/>
          <w:u w:val="single"/>
        </w:rPr>
        <w:t>Subject to Reporting Requirements</w:t>
      </w:r>
      <w:r w:rsidR="00FB15B8" w:rsidRPr="00A25CAD">
        <w:rPr>
          <w:rFonts w:ascii="Times New Roman" w:hAnsi="Times New Roman"/>
          <w:color w:val="000000" w:themeColor="text1"/>
          <w:sz w:val="24"/>
          <w:szCs w:val="24"/>
        </w:rPr>
        <w:t xml:space="preserve">. </w:t>
      </w:r>
      <w:r w:rsidR="00537E37" w:rsidRPr="00A25CAD">
        <w:rPr>
          <w:rFonts w:ascii="Times New Roman" w:hAnsi="Times New Roman"/>
          <w:color w:val="000000" w:themeColor="text1"/>
          <w:sz w:val="24"/>
          <w:szCs w:val="24"/>
        </w:rPr>
        <w:t>A Payer is subject to the rep</w:t>
      </w:r>
      <w:r w:rsidR="004579B2" w:rsidRPr="00A25CAD">
        <w:rPr>
          <w:rFonts w:ascii="Times New Roman" w:hAnsi="Times New Roman"/>
          <w:color w:val="000000" w:themeColor="text1"/>
          <w:sz w:val="24"/>
          <w:szCs w:val="24"/>
        </w:rPr>
        <w:t xml:space="preserve">orting requirements in 957 CMR </w:t>
      </w:r>
      <w:r w:rsidR="001F7E64" w:rsidRPr="00A25CAD">
        <w:rPr>
          <w:rFonts w:ascii="Times New Roman" w:hAnsi="Times New Roman"/>
          <w:color w:val="000000" w:themeColor="text1"/>
          <w:sz w:val="24"/>
          <w:szCs w:val="24"/>
        </w:rPr>
        <w:t>10</w:t>
      </w:r>
      <w:r w:rsidR="004579B2" w:rsidRPr="00A25CAD">
        <w:rPr>
          <w:rFonts w:ascii="Times New Roman" w:hAnsi="Times New Roman"/>
          <w:color w:val="000000" w:themeColor="text1"/>
          <w:sz w:val="24"/>
          <w:szCs w:val="24"/>
        </w:rPr>
        <w:t>.</w:t>
      </w:r>
      <w:r w:rsidR="001F7E64" w:rsidRPr="00A25CAD">
        <w:rPr>
          <w:rFonts w:ascii="Times New Roman" w:hAnsi="Times New Roman"/>
          <w:color w:val="000000" w:themeColor="text1"/>
          <w:sz w:val="24"/>
          <w:szCs w:val="24"/>
        </w:rPr>
        <w:t>00</w:t>
      </w:r>
      <w:r w:rsidR="00537E37" w:rsidRPr="00A25CAD">
        <w:rPr>
          <w:rFonts w:ascii="Times New Roman" w:hAnsi="Times New Roman"/>
          <w:color w:val="000000" w:themeColor="text1"/>
          <w:sz w:val="24"/>
          <w:szCs w:val="24"/>
        </w:rPr>
        <w:t xml:space="preserve"> if</w:t>
      </w:r>
      <w:r w:rsidR="003A5C61">
        <w:rPr>
          <w:rFonts w:ascii="Times New Roman" w:hAnsi="Times New Roman"/>
          <w:color w:val="000000" w:themeColor="text1"/>
          <w:sz w:val="24"/>
          <w:szCs w:val="24"/>
        </w:rPr>
        <w:t xml:space="preserve"> the </w:t>
      </w:r>
      <w:r w:rsidR="00D22DE6" w:rsidRPr="00B95D48">
        <w:rPr>
          <w:rFonts w:ascii="Times New Roman" w:hAnsi="Times New Roman"/>
          <w:color w:val="000000" w:themeColor="text1"/>
          <w:sz w:val="24"/>
          <w:szCs w:val="24"/>
        </w:rPr>
        <w:t>Payer</w:t>
      </w:r>
      <w:r w:rsidR="00EF1C63">
        <w:rPr>
          <w:rFonts w:ascii="Times New Roman" w:hAnsi="Times New Roman"/>
          <w:color w:val="000000" w:themeColor="text1"/>
          <w:sz w:val="24"/>
          <w:szCs w:val="24"/>
        </w:rPr>
        <w:t xml:space="preserve">, </w:t>
      </w:r>
      <w:r w:rsidR="00EF1C63" w:rsidRPr="00E55E9C">
        <w:rPr>
          <w:rFonts w:ascii="Times New Roman" w:hAnsi="Times New Roman"/>
          <w:sz w:val="24"/>
          <w:szCs w:val="24"/>
        </w:rPr>
        <w:t>including Affiliated Payers</w:t>
      </w:r>
      <w:r w:rsidR="00EF1C63">
        <w:rPr>
          <w:rFonts w:ascii="Times New Roman" w:hAnsi="Times New Roman"/>
          <w:color w:val="000000" w:themeColor="text1"/>
          <w:sz w:val="24"/>
          <w:szCs w:val="24"/>
        </w:rPr>
        <w:t>,</w:t>
      </w:r>
      <w:r w:rsidR="00EF1C63" w:rsidRPr="00A25CAD">
        <w:rPr>
          <w:rFonts w:ascii="Times New Roman" w:hAnsi="Times New Roman"/>
          <w:color w:val="000000" w:themeColor="text1"/>
          <w:sz w:val="24"/>
          <w:szCs w:val="24"/>
        </w:rPr>
        <w:t xml:space="preserve"> </w:t>
      </w:r>
      <w:r w:rsidR="00D22DE6" w:rsidRPr="00B95D48">
        <w:rPr>
          <w:rFonts w:ascii="Times New Roman" w:hAnsi="Times New Roman"/>
          <w:color w:val="000000" w:themeColor="text1"/>
          <w:sz w:val="24"/>
          <w:szCs w:val="24"/>
        </w:rPr>
        <w:t xml:space="preserve">had at least </w:t>
      </w:r>
      <w:r w:rsidR="00EF1C63">
        <w:rPr>
          <w:rFonts w:ascii="Times New Roman" w:hAnsi="Times New Roman"/>
          <w:color w:val="000000" w:themeColor="text1"/>
          <w:sz w:val="24"/>
          <w:szCs w:val="24"/>
        </w:rPr>
        <w:t>50</w:t>
      </w:r>
      <w:r w:rsidR="00D22DE6" w:rsidRPr="00B95D48">
        <w:rPr>
          <w:rFonts w:ascii="Times New Roman" w:hAnsi="Times New Roman"/>
          <w:color w:val="000000" w:themeColor="text1"/>
          <w:sz w:val="24"/>
          <w:szCs w:val="24"/>
        </w:rPr>
        <w:t>,000 Massachusetts</w:t>
      </w:r>
      <w:r w:rsidR="00414279" w:rsidRPr="00B95D48">
        <w:rPr>
          <w:rFonts w:ascii="Times New Roman" w:hAnsi="Times New Roman"/>
          <w:color w:val="000000" w:themeColor="text1"/>
          <w:sz w:val="24"/>
          <w:szCs w:val="24"/>
        </w:rPr>
        <w:t xml:space="preserve"> Private</w:t>
      </w:r>
      <w:r w:rsidR="00D22DE6" w:rsidRPr="00B95D48">
        <w:rPr>
          <w:rFonts w:ascii="Times New Roman" w:hAnsi="Times New Roman"/>
          <w:color w:val="000000" w:themeColor="text1"/>
          <w:sz w:val="24"/>
          <w:szCs w:val="24"/>
        </w:rPr>
        <w:t xml:space="preserve"> Commercial </w:t>
      </w:r>
      <w:r w:rsidR="004E7996" w:rsidRPr="00B95D48">
        <w:rPr>
          <w:rFonts w:ascii="Times New Roman" w:hAnsi="Times New Roman"/>
          <w:color w:val="000000" w:themeColor="text1"/>
          <w:sz w:val="24"/>
          <w:szCs w:val="24"/>
        </w:rPr>
        <w:t xml:space="preserve">Plan </w:t>
      </w:r>
      <w:r w:rsidR="00D22DE6" w:rsidRPr="00B95D48">
        <w:rPr>
          <w:rFonts w:ascii="Times New Roman" w:hAnsi="Times New Roman"/>
          <w:color w:val="000000" w:themeColor="text1"/>
          <w:sz w:val="24"/>
          <w:szCs w:val="24"/>
        </w:rPr>
        <w:t xml:space="preserve">members </w:t>
      </w:r>
      <w:r w:rsidR="00414279" w:rsidRPr="00B95D48">
        <w:rPr>
          <w:rFonts w:ascii="Times New Roman" w:hAnsi="Times New Roman"/>
          <w:color w:val="000000" w:themeColor="text1"/>
          <w:sz w:val="24"/>
          <w:szCs w:val="24"/>
        </w:rPr>
        <w:t xml:space="preserve">for the latest quarter </w:t>
      </w:r>
      <w:r w:rsidR="00D22DE6" w:rsidRPr="00B95D48">
        <w:rPr>
          <w:rFonts w:ascii="Times New Roman" w:hAnsi="Times New Roman"/>
          <w:color w:val="000000" w:themeColor="text1"/>
          <w:sz w:val="24"/>
          <w:szCs w:val="24"/>
        </w:rPr>
        <w:t>as reported in the</w:t>
      </w:r>
      <w:r w:rsidR="00BE6F64" w:rsidRPr="00B95D48">
        <w:rPr>
          <w:rFonts w:ascii="Times New Roman" w:hAnsi="Times New Roman"/>
          <w:color w:val="000000" w:themeColor="text1"/>
          <w:sz w:val="24"/>
          <w:szCs w:val="24"/>
        </w:rPr>
        <w:t xml:space="preserve"> Center’s</w:t>
      </w:r>
      <w:r w:rsidR="00D22DE6" w:rsidRPr="00B95D48">
        <w:rPr>
          <w:rFonts w:ascii="Times New Roman" w:hAnsi="Times New Roman"/>
          <w:color w:val="000000" w:themeColor="text1"/>
          <w:sz w:val="24"/>
          <w:szCs w:val="24"/>
        </w:rPr>
        <w:t xml:space="preserve"> most recently published Enrollment Trends report as of F</w:t>
      </w:r>
      <w:r w:rsidR="00BE6F64" w:rsidRPr="00B95D48">
        <w:rPr>
          <w:rFonts w:ascii="Times New Roman" w:hAnsi="Times New Roman"/>
          <w:color w:val="000000" w:themeColor="text1"/>
          <w:sz w:val="24"/>
          <w:szCs w:val="24"/>
        </w:rPr>
        <w:t>ebruary 1</w:t>
      </w:r>
      <w:r w:rsidR="00097623" w:rsidRPr="00B95D48">
        <w:rPr>
          <w:rFonts w:ascii="Times New Roman" w:hAnsi="Times New Roman"/>
          <w:color w:val="000000" w:themeColor="text1"/>
          <w:sz w:val="24"/>
          <w:szCs w:val="24"/>
          <w:vertAlign w:val="superscript"/>
        </w:rPr>
        <w:t>st</w:t>
      </w:r>
      <w:r w:rsidR="00BE6F64" w:rsidRPr="00B95D48">
        <w:rPr>
          <w:rFonts w:ascii="Times New Roman" w:hAnsi="Times New Roman"/>
          <w:color w:val="000000" w:themeColor="text1"/>
          <w:sz w:val="24"/>
          <w:szCs w:val="24"/>
        </w:rPr>
        <w:t xml:space="preserve"> of the Reporting Year and posted on the Center’s website.</w:t>
      </w:r>
      <w:r w:rsidR="003A5C61">
        <w:rPr>
          <w:rFonts w:ascii="Times New Roman" w:hAnsi="Times New Roman"/>
          <w:color w:val="000000" w:themeColor="text1"/>
          <w:sz w:val="24"/>
          <w:szCs w:val="24"/>
        </w:rPr>
        <w:t xml:space="preserve"> </w:t>
      </w:r>
      <w:r w:rsidR="00035974" w:rsidRPr="00B95D48">
        <w:rPr>
          <w:rFonts w:ascii="Times New Roman" w:hAnsi="Times New Roman"/>
          <w:color w:val="000000" w:themeColor="text1"/>
          <w:sz w:val="24"/>
          <w:szCs w:val="24"/>
        </w:rPr>
        <w:t xml:space="preserve">If a Payer is subject to the reporting requirements of 957 CMR </w:t>
      </w:r>
      <w:r w:rsidR="001F7E64" w:rsidRPr="00B95D48">
        <w:rPr>
          <w:rFonts w:ascii="Times New Roman" w:hAnsi="Times New Roman"/>
          <w:color w:val="000000" w:themeColor="text1"/>
          <w:sz w:val="24"/>
          <w:szCs w:val="24"/>
        </w:rPr>
        <w:t>10</w:t>
      </w:r>
      <w:r w:rsidR="00035974" w:rsidRPr="00B95D48">
        <w:rPr>
          <w:rFonts w:ascii="Times New Roman" w:hAnsi="Times New Roman"/>
          <w:color w:val="000000" w:themeColor="text1"/>
          <w:sz w:val="24"/>
          <w:szCs w:val="24"/>
        </w:rPr>
        <w:t>.</w:t>
      </w:r>
      <w:r w:rsidR="001F7E64" w:rsidRPr="00B95D48">
        <w:rPr>
          <w:rFonts w:ascii="Times New Roman" w:hAnsi="Times New Roman"/>
          <w:color w:val="000000" w:themeColor="text1"/>
          <w:sz w:val="24"/>
          <w:szCs w:val="24"/>
        </w:rPr>
        <w:t>00</w:t>
      </w:r>
      <w:r w:rsidR="00035974" w:rsidRPr="00B95D48">
        <w:rPr>
          <w:rFonts w:ascii="Times New Roman" w:hAnsi="Times New Roman"/>
          <w:color w:val="000000" w:themeColor="text1"/>
          <w:sz w:val="24"/>
          <w:szCs w:val="24"/>
        </w:rPr>
        <w:t>, it shall file the required data for all of its</w:t>
      </w:r>
      <w:r w:rsidR="00414279" w:rsidRPr="00B95D48">
        <w:rPr>
          <w:rFonts w:ascii="Times New Roman" w:hAnsi="Times New Roman"/>
          <w:color w:val="000000" w:themeColor="text1"/>
          <w:sz w:val="24"/>
          <w:szCs w:val="24"/>
        </w:rPr>
        <w:t xml:space="preserve"> Private</w:t>
      </w:r>
      <w:r w:rsidR="00035974" w:rsidRPr="00B95D48">
        <w:rPr>
          <w:rFonts w:ascii="Times New Roman" w:hAnsi="Times New Roman"/>
          <w:color w:val="000000" w:themeColor="text1"/>
          <w:sz w:val="24"/>
          <w:szCs w:val="24"/>
        </w:rPr>
        <w:t xml:space="preserve"> Commercial Plans</w:t>
      </w:r>
      <w:r w:rsidR="00EF1C63">
        <w:rPr>
          <w:rFonts w:ascii="Times New Roman" w:hAnsi="Times New Roman"/>
          <w:color w:val="000000" w:themeColor="text1"/>
          <w:sz w:val="24"/>
          <w:szCs w:val="24"/>
        </w:rPr>
        <w:t xml:space="preserve">, </w:t>
      </w:r>
      <w:r w:rsidR="00035974" w:rsidRPr="00B95D48">
        <w:rPr>
          <w:rFonts w:ascii="Times New Roman" w:hAnsi="Times New Roman"/>
          <w:color w:val="000000" w:themeColor="text1"/>
          <w:sz w:val="24"/>
          <w:szCs w:val="24"/>
        </w:rPr>
        <w:t>clients</w:t>
      </w:r>
      <w:r w:rsidR="00EF1C63">
        <w:rPr>
          <w:rFonts w:ascii="Times New Roman" w:hAnsi="Times New Roman"/>
          <w:color w:val="000000" w:themeColor="text1"/>
          <w:sz w:val="24"/>
          <w:szCs w:val="24"/>
        </w:rPr>
        <w:t>, and Affiliated Payers</w:t>
      </w:r>
      <w:r w:rsidR="00035974" w:rsidRPr="00B95D48">
        <w:rPr>
          <w:rFonts w:ascii="Times New Roman" w:hAnsi="Times New Roman"/>
          <w:color w:val="000000" w:themeColor="text1"/>
          <w:sz w:val="24"/>
          <w:szCs w:val="24"/>
        </w:rPr>
        <w:t>.</w:t>
      </w:r>
    </w:p>
    <w:p w14:paraId="2BFDB6A7" w14:textId="77777777" w:rsidR="00203CF5" w:rsidRPr="008A6F00" w:rsidRDefault="00203CF5" w:rsidP="00203CF5">
      <w:pPr>
        <w:pStyle w:val="ListParagraph"/>
        <w:numPr>
          <w:ilvl w:val="0"/>
          <w:numId w:val="17"/>
        </w:numPr>
        <w:rPr>
          <w:rFonts w:ascii="Times New Roman" w:hAnsi="Times New Roman"/>
          <w:color w:val="000000" w:themeColor="text1"/>
          <w:sz w:val="24"/>
          <w:szCs w:val="24"/>
          <w:u w:val="single"/>
        </w:rPr>
      </w:pPr>
      <w:r w:rsidRPr="00EF3741">
        <w:rPr>
          <w:rFonts w:ascii="Times New Roman" w:hAnsi="Times New Roman"/>
          <w:color w:val="000000" w:themeColor="text1"/>
          <w:sz w:val="24"/>
          <w:szCs w:val="24"/>
          <w:u w:val="single"/>
        </w:rPr>
        <w:t>Use of Existing Data.</w:t>
      </w:r>
      <w:r>
        <w:rPr>
          <w:rFonts w:ascii="Times New Roman" w:hAnsi="Times New Roman"/>
          <w:color w:val="000000" w:themeColor="text1"/>
          <w:sz w:val="24"/>
          <w:szCs w:val="24"/>
        </w:rPr>
        <w:t xml:space="preserve"> Where</w:t>
      </w:r>
      <w:r w:rsidRPr="008A6F00">
        <w:rPr>
          <w:rFonts w:ascii="Times New Roman" w:hAnsi="Times New Roman"/>
          <w:color w:val="000000" w:themeColor="text1"/>
          <w:sz w:val="24"/>
          <w:szCs w:val="24"/>
        </w:rPr>
        <w:t xml:space="preserve"> feasible, the Center may use currently reported </w:t>
      </w:r>
      <w:r>
        <w:rPr>
          <w:rFonts w:ascii="Times New Roman" w:hAnsi="Times New Roman"/>
          <w:color w:val="000000" w:themeColor="text1"/>
          <w:sz w:val="24"/>
          <w:szCs w:val="24"/>
        </w:rPr>
        <w:t xml:space="preserve">and available </w:t>
      </w:r>
      <w:r w:rsidRPr="008A6F00">
        <w:rPr>
          <w:rFonts w:ascii="Times New Roman" w:hAnsi="Times New Roman"/>
          <w:color w:val="000000" w:themeColor="text1"/>
          <w:sz w:val="24"/>
          <w:szCs w:val="24"/>
        </w:rPr>
        <w:t>data in addition to, or in place of, data elem</w:t>
      </w:r>
      <w:r>
        <w:rPr>
          <w:rFonts w:ascii="Times New Roman" w:hAnsi="Times New Roman"/>
          <w:color w:val="000000" w:themeColor="text1"/>
          <w:sz w:val="24"/>
          <w:szCs w:val="24"/>
        </w:rPr>
        <w:t xml:space="preserve">ents that Payers must submit in accordance with 957 CMR 10.03(1) or </w:t>
      </w:r>
      <w:r w:rsidRPr="008A6F00">
        <w:rPr>
          <w:rFonts w:ascii="Times New Roman" w:hAnsi="Times New Roman"/>
          <w:color w:val="000000" w:themeColor="text1"/>
          <w:sz w:val="24"/>
          <w:szCs w:val="24"/>
        </w:rPr>
        <w:t>(2).</w:t>
      </w:r>
    </w:p>
    <w:p w14:paraId="2BFDB6A8" w14:textId="77777777" w:rsidR="00C757E2" w:rsidRPr="00A25CAD" w:rsidRDefault="0011041C" w:rsidP="00C757E2">
      <w:pPr>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t>10</w:t>
      </w:r>
      <w:r w:rsidR="00C757E2" w:rsidRPr="00A25CAD">
        <w:rPr>
          <w:rFonts w:ascii="Times New Roman" w:hAnsi="Times New Roman"/>
          <w:color w:val="000000" w:themeColor="text1"/>
          <w:sz w:val="24"/>
          <w:szCs w:val="24"/>
          <w:u w:val="single"/>
        </w:rPr>
        <w:t>.04     Data Submission Procedures</w:t>
      </w:r>
    </w:p>
    <w:p w14:paraId="2BFDB6A9" w14:textId="77777777" w:rsidR="00791D9C" w:rsidRPr="00A25CAD" w:rsidRDefault="00791D9C" w:rsidP="00791D9C">
      <w:pPr>
        <w:pStyle w:val="ListParagraph"/>
        <w:numPr>
          <w:ilvl w:val="0"/>
          <w:numId w:val="24"/>
        </w:numPr>
        <w:rPr>
          <w:rFonts w:ascii="Times New Roman" w:hAnsi="Times New Roman"/>
          <w:color w:val="000000" w:themeColor="text1"/>
          <w:sz w:val="24"/>
          <w:szCs w:val="24"/>
        </w:rPr>
      </w:pPr>
      <w:r w:rsidRPr="00FC159F">
        <w:rPr>
          <w:rFonts w:ascii="Times New Roman" w:hAnsi="Times New Roman"/>
          <w:color w:val="000000" w:themeColor="text1"/>
          <w:sz w:val="24"/>
          <w:szCs w:val="24"/>
          <w:u w:val="single"/>
        </w:rPr>
        <w:t>General</w:t>
      </w:r>
      <w:r w:rsidRPr="00FC159F">
        <w:rPr>
          <w:rFonts w:ascii="Times New Roman" w:hAnsi="Times New Roman"/>
          <w:color w:val="000000" w:themeColor="text1"/>
          <w:sz w:val="24"/>
          <w:szCs w:val="24"/>
        </w:rPr>
        <w:t xml:space="preserve">. Payers shall submit </w:t>
      </w:r>
      <w:r w:rsidR="00143598" w:rsidRPr="00FC159F">
        <w:rPr>
          <w:rFonts w:ascii="Times New Roman" w:hAnsi="Times New Roman"/>
          <w:color w:val="000000" w:themeColor="text1"/>
          <w:sz w:val="24"/>
          <w:szCs w:val="24"/>
        </w:rPr>
        <w:t xml:space="preserve">annually </w:t>
      </w:r>
      <w:r w:rsidRPr="00A25CAD">
        <w:rPr>
          <w:rFonts w:ascii="Times New Roman" w:hAnsi="Times New Roman"/>
          <w:color w:val="000000" w:themeColor="text1"/>
          <w:sz w:val="24"/>
          <w:szCs w:val="24"/>
        </w:rPr>
        <w:t xml:space="preserve">health care data and information to </w:t>
      </w:r>
      <w:r w:rsidR="003D0B33" w:rsidRPr="00A25CAD">
        <w:rPr>
          <w:rFonts w:ascii="Times New Roman" w:hAnsi="Times New Roman"/>
          <w:color w:val="000000" w:themeColor="text1"/>
          <w:sz w:val="24"/>
          <w:szCs w:val="24"/>
        </w:rPr>
        <w:t>the Center</w:t>
      </w:r>
      <w:r w:rsidRPr="00A25CAD">
        <w:rPr>
          <w:rFonts w:ascii="Times New Roman" w:hAnsi="Times New Roman"/>
          <w:color w:val="000000" w:themeColor="text1"/>
          <w:sz w:val="24"/>
          <w:szCs w:val="24"/>
        </w:rPr>
        <w:t xml:space="preserve"> in accordance with the procedures provided in 957 CMR </w:t>
      </w:r>
      <w:r w:rsidR="001F7E64" w:rsidRPr="00A25CAD">
        <w:rPr>
          <w:rFonts w:ascii="Times New Roman" w:hAnsi="Times New Roman"/>
          <w:color w:val="000000" w:themeColor="text1"/>
          <w:sz w:val="24"/>
          <w:szCs w:val="24"/>
        </w:rPr>
        <w:t>10</w:t>
      </w:r>
      <w:r w:rsidRPr="00A25CAD">
        <w:rPr>
          <w:rFonts w:ascii="Times New Roman" w:hAnsi="Times New Roman"/>
          <w:color w:val="000000" w:themeColor="text1"/>
          <w:sz w:val="24"/>
          <w:szCs w:val="24"/>
        </w:rPr>
        <w:t>.</w:t>
      </w:r>
      <w:r w:rsidR="001F7E64" w:rsidRPr="00A25CAD">
        <w:rPr>
          <w:rFonts w:ascii="Times New Roman" w:hAnsi="Times New Roman"/>
          <w:color w:val="000000" w:themeColor="text1"/>
          <w:sz w:val="24"/>
          <w:szCs w:val="24"/>
        </w:rPr>
        <w:t>00</w:t>
      </w:r>
      <w:r w:rsidRPr="00A25CAD">
        <w:rPr>
          <w:rFonts w:ascii="Times New Roman" w:hAnsi="Times New Roman"/>
          <w:color w:val="000000" w:themeColor="text1"/>
          <w:sz w:val="24"/>
          <w:szCs w:val="24"/>
        </w:rPr>
        <w:t xml:space="preserve">, a Data Submission </w:t>
      </w:r>
      <w:r w:rsidR="0014740D" w:rsidRPr="00A25CAD">
        <w:rPr>
          <w:rFonts w:ascii="Times New Roman" w:hAnsi="Times New Roman"/>
          <w:color w:val="000000" w:themeColor="text1"/>
          <w:sz w:val="24"/>
          <w:szCs w:val="24"/>
        </w:rPr>
        <w:t>Manual</w:t>
      </w:r>
      <w:r w:rsidRPr="00A25CAD">
        <w:rPr>
          <w:rFonts w:ascii="Times New Roman" w:hAnsi="Times New Roman"/>
          <w:color w:val="000000" w:themeColor="text1"/>
          <w:sz w:val="24"/>
          <w:szCs w:val="24"/>
        </w:rPr>
        <w:t>, or an Administrative Bulletin.</w:t>
      </w:r>
    </w:p>
    <w:p w14:paraId="2BFDB6AA" w14:textId="77777777" w:rsidR="008B162F" w:rsidRPr="00A25CAD" w:rsidRDefault="00FC30E7" w:rsidP="00791D9C">
      <w:pPr>
        <w:pStyle w:val="ListParagraph"/>
        <w:numPr>
          <w:ilvl w:val="0"/>
          <w:numId w:val="24"/>
        </w:numPr>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Data Submission</w:t>
      </w:r>
      <w:r w:rsidR="00A635A6" w:rsidRPr="00A25CAD">
        <w:rPr>
          <w:rFonts w:ascii="Times New Roman" w:hAnsi="Times New Roman"/>
          <w:color w:val="000000" w:themeColor="text1"/>
          <w:sz w:val="24"/>
          <w:szCs w:val="24"/>
          <w:u w:val="single"/>
        </w:rPr>
        <w:t xml:space="preserve"> Manual</w:t>
      </w:r>
      <w:r w:rsidR="00A635A6" w:rsidRPr="00A25CAD">
        <w:rPr>
          <w:rFonts w:ascii="Times New Roman" w:hAnsi="Times New Roman"/>
          <w:color w:val="000000" w:themeColor="text1"/>
          <w:sz w:val="24"/>
          <w:szCs w:val="24"/>
        </w:rPr>
        <w:t xml:space="preserve">. </w:t>
      </w:r>
      <w:r w:rsidR="00AF175A" w:rsidRPr="00A25CAD">
        <w:rPr>
          <w:rFonts w:ascii="Times New Roman" w:hAnsi="Times New Roman"/>
          <w:color w:val="000000" w:themeColor="text1"/>
          <w:sz w:val="24"/>
          <w:szCs w:val="24"/>
        </w:rPr>
        <w:t xml:space="preserve">The Center will </w:t>
      </w:r>
      <w:r w:rsidR="00983E43">
        <w:rPr>
          <w:rFonts w:ascii="Times New Roman" w:hAnsi="Times New Roman"/>
          <w:color w:val="000000" w:themeColor="text1"/>
          <w:sz w:val="24"/>
          <w:szCs w:val="24"/>
        </w:rPr>
        <w:t>release</w:t>
      </w:r>
      <w:r w:rsidR="00AF175A" w:rsidRPr="00A25CAD">
        <w:rPr>
          <w:rFonts w:ascii="Times New Roman" w:hAnsi="Times New Roman"/>
          <w:color w:val="000000" w:themeColor="text1"/>
          <w:sz w:val="24"/>
          <w:szCs w:val="24"/>
        </w:rPr>
        <w:t xml:space="preserve"> a draft </w:t>
      </w:r>
      <w:r w:rsidRPr="00A25CAD">
        <w:rPr>
          <w:rFonts w:ascii="Times New Roman" w:hAnsi="Times New Roman"/>
          <w:color w:val="000000" w:themeColor="text1"/>
          <w:sz w:val="24"/>
          <w:szCs w:val="24"/>
        </w:rPr>
        <w:t>Data Submission</w:t>
      </w:r>
      <w:r w:rsidR="00AF175A" w:rsidRPr="00A25CAD">
        <w:rPr>
          <w:rFonts w:ascii="Times New Roman" w:hAnsi="Times New Roman"/>
          <w:color w:val="000000" w:themeColor="text1"/>
          <w:sz w:val="24"/>
          <w:szCs w:val="24"/>
        </w:rPr>
        <w:t xml:space="preserve"> Manual prior to requiring data submissions from </w:t>
      </w:r>
      <w:r w:rsidR="00B81394" w:rsidRPr="00A25CAD">
        <w:rPr>
          <w:rFonts w:ascii="Times New Roman" w:hAnsi="Times New Roman"/>
          <w:color w:val="000000" w:themeColor="text1"/>
          <w:sz w:val="24"/>
          <w:szCs w:val="24"/>
        </w:rPr>
        <w:t>Payers</w:t>
      </w:r>
      <w:r w:rsidR="00AF175A" w:rsidRPr="00A25CAD">
        <w:rPr>
          <w:rFonts w:ascii="Times New Roman" w:hAnsi="Times New Roman"/>
          <w:color w:val="000000" w:themeColor="text1"/>
          <w:sz w:val="24"/>
          <w:szCs w:val="24"/>
        </w:rPr>
        <w:t>.  P</w:t>
      </w:r>
      <w:r w:rsidR="00B81394" w:rsidRPr="00A25CAD">
        <w:rPr>
          <w:rFonts w:ascii="Times New Roman" w:hAnsi="Times New Roman"/>
          <w:color w:val="000000" w:themeColor="text1"/>
          <w:sz w:val="24"/>
          <w:szCs w:val="24"/>
        </w:rPr>
        <w:t>ayers</w:t>
      </w:r>
      <w:r w:rsidR="00AF175A" w:rsidRPr="00A25CAD">
        <w:rPr>
          <w:rFonts w:ascii="Times New Roman" w:hAnsi="Times New Roman"/>
          <w:color w:val="000000" w:themeColor="text1"/>
          <w:sz w:val="24"/>
          <w:szCs w:val="24"/>
        </w:rPr>
        <w:t xml:space="preserve"> will </w:t>
      </w:r>
      <w:r w:rsidR="00A635A6" w:rsidRPr="00A25CAD">
        <w:rPr>
          <w:rFonts w:ascii="Times New Roman" w:hAnsi="Times New Roman"/>
          <w:color w:val="000000" w:themeColor="text1"/>
          <w:sz w:val="24"/>
          <w:szCs w:val="24"/>
        </w:rPr>
        <w:t>be given</w:t>
      </w:r>
      <w:r w:rsidR="003407B4">
        <w:rPr>
          <w:rFonts w:ascii="Times New Roman" w:hAnsi="Times New Roman"/>
          <w:color w:val="000000" w:themeColor="text1"/>
          <w:sz w:val="24"/>
          <w:szCs w:val="24"/>
        </w:rPr>
        <w:t xml:space="preserve"> at least 14</w:t>
      </w:r>
      <w:r w:rsidR="00796331" w:rsidRPr="00A25CAD">
        <w:rPr>
          <w:rFonts w:ascii="Times New Roman" w:hAnsi="Times New Roman"/>
          <w:color w:val="000000" w:themeColor="text1"/>
          <w:sz w:val="24"/>
          <w:szCs w:val="24"/>
        </w:rPr>
        <w:t xml:space="preserve"> </w:t>
      </w:r>
      <w:r w:rsidR="00AF175A" w:rsidRPr="00A25CAD">
        <w:rPr>
          <w:rFonts w:ascii="Times New Roman" w:hAnsi="Times New Roman"/>
          <w:color w:val="000000" w:themeColor="text1"/>
          <w:sz w:val="24"/>
          <w:szCs w:val="24"/>
        </w:rPr>
        <w:t xml:space="preserve">days to submit written comments </w:t>
      </w:r>
      <w:r w:rsidR="008B162F" w:rsidRPr="00A25CAD">
        <w:rPr>
          <w:rFonts w:ascii="Times New Roman" w:hAnsi="Times New Roman"/>
          <w:color w:val="000000" w:themeColor="text1"/>
          <w:sz w:val="24"/>
          <w:szCs w:val="24"/>
        </w:rPr>
        <w:t xml:space="preserve">on </w:t>
      </w:r>
      <w:r w:rsidR="00AF175A" w:rsidRPr="00A25CAD">
        <w:rPr>
          <w:rFonts w:ascii="Times New Roman" w:hAnsi="Times New Roman"/>
          <w:color w:val="000000" w:themeColor="text1"/>
          <w:sz w:val="24"/>
          <w:szCs w:val="24"/>
        </w:rPr>
        <w:t xml:space="preserve">the draft </w:t>
      </w:r>
      <w:r w:rsidRPr="00A25CAD">
        <w:rPr>
          <w:rFonts w:ascii="Times New Roman" w:hAnsi="Times New Roman"/>
          <w:color w:val="000000" w:themeColor="text1"/>
          <w:sz w:val="24"/>
          <w:szCs w:val="24"/>
        </w:rPr>
        <w:t>Data Submission</w:t>
      </w:r>
      <w:r w:rsidR="0035318B" w:rsidRPr="00A25CAD">
        <w:rPr>
          <w:rFonts w:ascii="Times New Roman" w:hAnsi="Times New Roman"/>
          <w:color w:val="000000" w:themeColor="text1"/>
          <w:sz w:val="24"/>
          <w:szCs w:val="24"/>
        </w:rPr>
        <w:t xml:space="preserve"> Manual</w:t>
      </w:r>
      <w:r w:rsidR="008B162F" w:rsidRPr="00A25CAD">
        <w:rPr>
          <w:rFonts w:ascii="Times New Roman" w:hAnsi="Times New Roman"/>
          <w:color w:val="000000" w:themeColor="text1"/>
          <w:sz w:val="24"/>
          <w:szCs w:val="24"/>
        </w:rPr>
        <w:t xml:space="preserve">. The Center will issue </w:t>
      </w:r>
      <w:r w:rsidR="0035318B" w:rsidRPr="00A25CAD">
        <w:rPr>
          <w:rFonts w:ascii="Times New Roman" w:hAnsi="Times New Roman"/>
          <w:color w:val="000000" w:themeColor="text1"/>
          <w:sz w:val="24"/>
          <w:szCs w:val="24"/>
        </w:rPr>
        <w:t xml:space="preserve">a final </w:t>
      </w:r>
      <w:r w:rsidRPr="00A25CAD">
        <w:rPr>
          <w:rFonts w:ascii="Times New Roman" w:hAnsi="Times New Roman"/>
          <w:color w:val="000000" w:themeColor="text1"/>
          <w:sz w:val="24"/>
          <w:szCs w:val="24"/>
        </w:rPr>
        <w:t>Data Submission</w:t>
      </w:r>
      <w:r w:rsidR="00111A6A" w:rsidRPr="00A25CAD">
        <w:rPr>
          <w:rFonts w:ascii="Times New Roman" w:hAnsi="Times New Roman"/>
          <w:color w:val="000000" w:themeColor="text1"/>
          <w:sz w:val="24"/>
          <w:szCs w:val="24"/>
        </w:rPr>
        <w:t xml:space="preserve"> M</w:t>
      </w:r>
      <w:r w:rsidR="00B81394" w:rsidRPr="00A25CAD">
        <w:rPr>
          <w:rFonts w:ascii="Times New Roman" w:hAnsi="Times New Roman"/>
          <w:color w:val="000000" w:themeColor="text1"/>
          <w:sz w:val="24"/>
          <w:szCs w:val="24"/>
        </w:rPr>
        <w:t>anual</w:t>
      </w:r>
      <w:r w:rsidR="006D11CB" w:rsidRPr="00A25CAD">
        <w:rPr>
          <w:rFonts w:ascii="Times New Roman" w:hAnsi="Times New Roman"/>
          <w:color w:val="000000" w:themeColor="text1"/>
          <w:sz w:val="24"/>
          <w:szCs w:val="24"/>
        </w:rPr>
        <w:t xml:space="preserve"> </w:t>
      </w:r>
      <w:r w:rsidR="00925EE6" w:rsidRPr="00A25CAD">
        <w:rPr>
          <w:rFonts w:ascii="Times New Roman" w:hAnsi="Times New Roman"/>
          <w:color w:val="000000" w:themeColor="text1"/>
          <w:sz w:val="24"/>
          <w:szCs w:val="24"/>
        </w:rPr>
        <w:t xml:space="preserve">following </w:t>
      </w:r>
      <w:r w:rsidR="008B162F" w:rsidRPr="00A25CAD">
        <w:rPr>
          <w:rFonts w:ascii="Times New Roman" w:hAnsi="Times New Roman"/>
          <w:color w:val="000000" w:themeColor="text1"/>
          <w:sz w:val="24"/>
          <w:szCs w:val="24"/>
        </w:rPr>
        <w:t xml:space="preserve">the </w:t>
      </w:r>
      <w:r w:rsidR="00085FC6" w:rsidRPr="00A25CAD">
        <w:rPr>
          <w:rFonts w:ascii="Times New Roman" w:hAnsi="Times New Roman"/>
          <w:color w:val="000000" w:themeColor="text1"/>
          <w:sz w:val="24"/>
          <w:szCs w:val="24"/>
        </w:rPr>
        <w:t xml:space="preserve">deadline </w:t>
      </w:r>
      <w:r w:rsidR="00D655FF" w:rsidRPr="00A25CAD">
        <w:rPr>
          <w:rFonts w:ascii="Times New Roman" w:hAnsi="Times New Roman"/>
          <w:color w:val="000000" w:themeColor="text1"/>
          <w:sz w:val="24"/>
          <w:szCs w:val="24"/>
        </w:rPr>
        <w:t xml:space="preserve">for </w:t>
      </w:r>
      <w:r w:rsidR="00085FC6" w:rsidRPr="00A25CAD">
        <w:rPr>
          <w:rFonts w:ascii="Times New Roman" w:hAnsi="Times New Roman"/>
          <w:color w:val="000000" w:themeColor="text1"/>
          <w:sz w:val="24"/>
          <w:szCs w:val="24"/>
        </w:rPr>
        <w:t>written comments</w:t>
      </w:r>
      <w:r w:rsidR="00925EE6" w:rsidRPr="00A25CAD">
        <w:rPr>
          <w:rFonts w:ascii="Times New Roman" w:hAnsi="Times New Roman"/>
          <w:color w:val="000000" w:themeColor="text1"/>
          <w:sz w:val="24"/>
          <w:szCs w:val="24"/>
        </w:rPr>
        <w:t xml:space="preserve"> and</w:t>
      </w:r>
      <w:r w:rsidR="00B81394" w:rsidRPr="00A25CAD">
        <w:rPr>
          <w:rFonts w:ascii="Times New Roman" w:hAnsi="Times New Roman"/>
          <w:color w:val="000000" w:themeColor="text1"/>
          <w:sz w:val="24"/>
          <w:szCs w:val="24"/>
        </w:rPr>
        <w:t xml:space="preserve"> will</w:t>
      </w:r>
      <w:r w:rsidR="00925EE6" w:rsidRPr="00A25CAD">
        <w:rPr>
          <w:rFonts w:ascii="Times New Roman" w:hAnsi="Times New Roman"/>
          <w:color w:val="000000" w:themeColor="text1"/>
          <w:sz w:val="24"/>
          <w:szCs w:val="24"/>
        </w:rPr>
        <w:t xml:space="preserve"> notify P</w:t>
      </w:r>
      <w:r w:rsidR="00B81394" w:rsidRPr="00A25CAD">
        <w:rPr>
          <w:rFonts w:ascii="Times New Roman" w:hAnsi="Times New Roman"/>
          <w:color w:val="000000" w:themeColor="text1"/>
          <w:sz w:val="24"/>
          <w:szCs w:val="24"/>
        </w:rPr>
        <w:t>ayers</w:t>
      </w:r>
      <w:r w:rsidR="00925EE6" w:rsidRPr="00A25CAD">
        <w:rPr>
          <w:rFonts w:ascii="Times New Roman" w:hAnsi="Times New Roman"/>
          <w:color w:val="000000" w:themeColor="text1"/>
          <w:sz w:val="24"/>
          <w:szCs w:val="24"/>
        </w:rPr>
        <w:t xml:space="preserve"> of its availability</w:t>
      </w:r>
      <w:r w:rsidR="00085FC6" w:rsidRPr="00A25CAD">
        <w:rPr>
          <w:rFonts w:ascii="Times New Roman" w:hAnsi="Times New Roman"/>
          <w:color w:val="000000" w:themeColor="text1"/>
          <w:sz w:val="24"/>
          <w:szCs w:val="24"/>
        </w:rPr>
        <w:t>.</w:t>
      </w:r>
      <w:r w:rsidR="008B162F" w:rsidRPr="00A25CAD">
        <w:rPr>
          <w:rFonts w:ascii="Times New Roman" w:hAnsi="Times New Roman"/>
          <w:color w:val="000000" w:themeColor="text1"/>
          <w:sz w:val="24"/>
          <w:szCs w:val="24"/>
        </w:rPr>
        <w:t xml:space="preserve"> </w:t>
      </w:r>
    </w:p>
    <w:p w14:paraId="2BFDB6AB" w14:textId="77777777" w:rsidR="00AF175A" w:rsidRPr="00A25CAD" w:rsidRDefault="004A40EE" w:rsidP="00791D9C">
      <w:pPr>
        <w:pStyle w:val="ListParagraph"/>
        <w:numPr>
          <w:ilvl w:val="0"/>
          <w:numId w:val="24"/>
        </w:numPr>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Data Submission P</w:t>
      </w:r>
      <w:r w:rsidR="00B73625" w:rsidRPr="00A25CAD">
        <w:rPr>
          <w:rFonts w:ascii="Times New Roman" w:hAnsi="Times New Roman"/>
          <w:color w:val="000000" w:themeColor="text1"/>
          <w:sz w:val="24"/>
          <w:szCs w:val="24"/>
          <w:u w:val="single"/>
        </w:rPr>
        <w:t>roc</w:t>
      </w:r>
      <w:r w:rsidRPr="00A25CAD">
        <w:rPr>
          <w:rFonts w:ascii="Times New Roman" w:hAnsi="Times New Roman"/>
          <w:color w:val="000000" w:themeColor="text1"/>
          <w:sz w:val="24"/>
          <w:szCs w:val="24"/>
          <w:u w:val="single"/>
        </w:rPr>
        <w:t>e</w:t>
      </w:r>
      <w:r w:rsidR="00B73625" w:rsidRPr="00A25CAD">
        <w:rPr>
          <w:rFonts w:ascii="Times New Roman" w:hAnsi="Times New Roman"/>
          <w:color w:val="000000" w:themeColor="text1"/>
          <w:sz w:val="24"/>
          <w:szCs w:val="24"/>
          <w:u w:val="single"/>
        </w:rPr>
        <w:t>ss</w:t>
      </w:r>
      <w:r w:rsidRPr="00A25CAD">
        <w:rPr>
          <w:rFonts w:ascii="Times New Roman" w:hAnsi="Times New Roman"/>
          <w:color w:val="000000" w:themeColor="text1"/>
          <w:sz w:val="24"/>
          <w:szCs w:val="24"/>
        </w:rPr>
        <w:t xml:space="preserve">. </w:t>
      </w:r>
      <w:r w:rsidR="00B81394" w:rsidRPr="00A25CAD">
        <w:rPr>
          <w:rFonts w:ascii="Times New Roman" w:hAnsi="Times New Roman"/>
          <w:color w:val="000000" w:themeColor="text1"/>
          <w:sz w:val="24"/>
          <w:szCs w:val="24"/>
        </w:rPr>
        <w:t>Each Payer</w:t>
      </w:r>
      <w:r w:rsidR="00AF175A" w:rsidRPr="00A25CAD">
        <w:rPr>
          <w:rFonts w:ascii="Times New Roman" w:hAnsi="Times New Roman"/>
          <w:color w:val="000000" w:themeColor="text1"/>
          <w:sz w:val="24"/>
          <w:szCs w:val="24"/>
        </w:rPr>
        <w:t xml:space="preserve"> shall submit dat</w:t>
      </w:r>
      <w:r w:rsidR="00B81394" w:rsidRPr="00A25CAD">
        <w:rPr>
          <w:rFonts w:ascii="Times New Roman" w:hAnsi="Times New Roman"/>
          <w:color w:val="000000" w:themeColor="text1"/>
          <w:sz w:val="24"/>
          <w:szCs w:val="24"/>
        </w:rPr>
        <w:t xml:space="preserve">a directly to the Center or the Center’s designated contractor </w:t>
      </w:r>
      <w:r w:rsidR="00AF175A" w:rsidRPr="00A25CAD">
        <w:rPr>
          <w:rFonts w:ascii="Times New Roman" w:hAnsi="Times New Roman"/>
          <w:color w:val="000000" w:themeColor="text1"/>
          <w:sz w:val="24"/>
          <w:szCs w:val="24"/>
        </w:rPr>
        <w:t xml:space="preserve">in the format specified by the </w:t>
      </w:r>
      <w:r w:rsidR="00FC30E7" w:rsidRPr="00A25CAD">
        <w:rPr>
          <w:rFonts w:ascii="Times New Roman" w:hAnsi="Times New Roman"/>
          <w:color w:val="000000" w:themeColor="text1"/>
          <w:sz w:val="24"/>
          <w:szCs w:val="24"/>
        </w:rPr>
        <w:t>Data Submission</w:t>
      </w:r>
      <w:r w:rsidR="007D77D7" w:rsidRPr="00A25CAD">
        <w:rPr>
          <w:rFonts w:ascii="Times New Roman" w:hAnsi="Times New Roman"/>
          <w:color w:val="000000" w:themeColor="text1"/>
          <w:sz w:val="24"/>
          <w:szCs w:val="24"/>
        </w:rPr>
        <w:t xml:space="preserve"> M</w:t>
      </w:r>
      <w:r w:rsidR="00B81394" w:rsidRPr="00A25CAD">
        <w:rPr>
          <w:rFonts w:ascii="Times New Roman" w:hAnsi="Times New Roman"/>
          <w:color w:val="000000" w:themeColor="text1"/>
          <w:sz w:val="24"/>
          <w:szCs w:val="24"/>
        </w:rPr>
        <w:t>anual</w:t>
      </w:r>
      <w:r w:rsidR="00AF175A" w:rsidRPr="00A25CAD">
        <w:rPr>
          <w:rFonts w:ascii="Times New Roman" w:hAnsi="Times New Roman"/>
          <w:color w:val="000000" w:themeColor="text1"/>
          <w:sz w:val="24"/>
          <w:szCs w:val="24"/>
        </w:rPr>
        <w:t xml:space="preserve">. Data submissions must conform </w:t>
      </w:r>
      <w:r w:rsidR="00F33BF6" w:rsidRPr="00A25CAD">
        <w:rPr>
          <w:rFonts w:ascii="Times New Roman" w:hAnsi="Times New Roman"/>
          <w:color w:val="000000" w:themeColor="text1"/>
          <w:sz w:val="24"/>
          <w:szCs w:val="24"/>
        </w:rPr>
        <w:t>to</w:t>
      </w:r>
      <w:r w:rsidR="00AF175A" w:rsidRPr="00A25CAD">
        <w:rPr>
          <w:rFonts w:ascii="Times New Roman" w:hAnsi="Times New Roman"/>
          <w:color w:val="000000" w:themeColor="text1"/>
          <w:sz w:val="24"/>
          <w:szCs w:val="24"/>
        </w:rPr>
        <w:t xml:space="preserve"> specifications set forth in the </w:t>
      </w:r>
      <w:r w:rsidR="00FC30E7" w:rsidRPr="00A25CAD">
        <w:rPr>
          <w:rFonts w:ascii="Times New Roman" w:hAnsi="Times New Roman"/>
          <w:color w:val="000000" w:themeColor="text1"/>
          <w:sz w:val="24"/>
          <w:szCs w:val="24"/>
        </w:rPr>
        <w:t>Data Submission</w:t>
      </w:r>
      <w:r w:rsidR="007D77D7" w:rsidRPr="00A25CAD">
        <w:rPr>
          <w:rFonts w:ascii="Times New Roman" w:hAnsi="Times New Roman"/>
          <w:color w:val="000000" w:themeColor="text1"/>
          <w:sz w:val="24"/>
          <w:szCs w:val="24"/>
        </w:rPr>
        <w:t xml:space="preserve"> M</w:t>
      </w:r>
      <w:r w:rsidR="00B81394" w:rsidRPr="00A25CAD">
        <w:rPr>
          <w:rFonts w:ascii="Times New Roman" w:hAnsi="Times New Roman"/>
          <w:color w:val="000000" w:themeColor="text1"/>
          <w:sz w:val="24"/>
          <w:szCs w:val="24"/>
        </w:rPr>
        <w:t>anual</w:t>
      </w:r>
      <w:r w:rsidR="00AF175A" w:rsidRPr="00A25CAD">
        <w:rPr>
          <w:rFonts w:ascii="Times New Roman" w:hAnsi="Times New Roman"/>
          <w:color w:val="000000" w:themeColor="text1"/>
          <w:sz w:val="24"/>
          <w:szCs w:val="24"/>
        </w:rPr>
        <w:t xml:space="preserve"> by the Center. The Center </w:t>
      </w:r>
      <w:r w:rsidR="007D77D7" w:rsidRPr="00A25CAD">
        <w:rPr>
          <w:rFonts w:ascii="Times New Roman" w:hAnsi="Times New Roman"/>
          <w:color w:val="000000" w:themeColor="text1"/>
          <w:sz w:val="24"/>
          <w:szCs w:val="24"/>
        </w:rPr>
        <w:t xml:space="preserve">or its contractor </w:t>
      </w:r>
      <w:r w:rsidR="00AF175A" w:rsidRPr="00A25CAD">
        <w:rPr>
          <w:rFonts w:ascii="Times New Roman" w:hAnsi="Times New Roman"/>
          <w:color w:val="000000" w:themeColor="text1"/>
          <w:sz w:val="24"/>
          <w:szCs w:val="24"/>
        </w:rPr>
        <w:t xml:space="preserve">will notify a </w:t>
      </w:r>
      <w:r w:rsidR="007D77D7" w:rsidRPr="00A25CAD">
        <w:rPr>
          <w:rFonts w:ascii="Times New Roman" w:hAnsi="Times New Roman"/>
          <w:color w:val="000000" w:themeColor="text1"/>
          <w:sz w:val="24"/>
          <w:szCs w:val="24"/>
        </w:rPr>
        <w:t xml:space="preserve">Payer </w:t>
      </w:r>
      <w:r w:rsidR="00AF175A" w:rsidRPr="00A25CAD">
        <w:rPr>
          <w:rFonts w:ascii="Times New Roman" w:hAnsi="Times New Roman"/>
          <w:color w:val="000000" w:themeColor="text1"/>
          <w:sz w:val="24"/>
          <w:szCs w:val="24"/>
        </w:rPr>
        <w:t xml:space="preserve">whether the submission has been accepted or </w:t>
      </w:r>
      <w:r w:rsidR="007D77D7" w:rsidRPr="00A25CAD">
        <w:rPr>
          <w:rFonts w:ascii="Times New Roman" w:hAnsi="Times New Roman"/>
          <w:color w:val="000000" w:themeColor="text1"/>
          <w:sz w:val="24"/>
          <w:szCs w:val="24"/>
        </w:rPr>
        <w:t>rejected.  Payers</w:t>
      </w:r>
      <w:r w:rsidR="00AF175A" w:rsidRPr="00A25CAD">
        <w:rPr>
          <w:rFonts w:ascii="Times New Roman" w:hAnsi="Times New Roman"/>
          <w:color w:val="000000" w:themeColor="text1"/>
          <w:sz w:val="24"/>
          <w:szCs w:val="24"/>
        </w:rPr>
        <w:t xml:space="preserve"> must correct and resubmit rejected data </w:t>
      </w:r>
      <w:r w:rsidR="00E03375">
        <w:rPr>
          <w:rFonts w:ascii="Times New Roman" w:hAnsi="Times New Roman"/>
          <w:color w:val="000000" w:themeColor="text1"/>
          <w:sz w:val="24"/>
          <w:szCs w:val="24"/>
        </w:rPr>
        <w:t xml:space="preserve">in a timely manner </w:t>
      </w:r>
      <w:r w:rsidR="00AF175A" w:rsidRPr="00A25CAD">
        <w:rPr>
          <w:rFonts w:ascii="Times New Roman" w:hAnsi="Times New Roman"/>
          <w:color w:val="000000" w:themeColor="text1"/>
          <w:sz w:val="24"/>
          <w:szCs w:val="24"/>
        </w:rPr>
        <w:t xml:space="preserve">until notified that the submission has been accepted. </w:t>
      </w:r>
    </w:p>
    <w:p w14:paraId="2BFDB6AC" w14:textId="77777777" w:rsidR="00685FDE" w:rsidRPr="00A25CAD" w:rsidRDefault="00120358" w:rsidP="00791D9C">
      <w:pPr>
        <w:pStyle w:val="ListParagraph"/>
        <w:numPr>
          <w:ilvl w:val="0"/>
          <w:numId w:val="24"/>
        </w:numPr>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lastRenderedPageBreak/>
        <w:t>Data Review and Verification</w:t>
      </w:r>
      <w:r w:rsidR="00B73625" w:rsidRPr="00A25CAD">
        <w:rPr>
          <w:rFonts w:ascii="Times New Roman" w:hAnsi="Times New Roman"/>
          <w:color w:val="000000" w:themeColor="text1"/>
          <w:sz w:val="24"/>
          <w:szCs w:val="24"/>
        </w:rPr>
        <w:t xml:space="preserve">. </w:t>
      </w:r>
      <w:r w:rsidR="006D11CB" w:rsidRPr="00A25CAD">
        <w:rPr>
          <w:rFonts w:ascii="Times New Roman" w:hAnsi="Times New Roman"/>
          <w:color w:val="000000" w:themeColor="text1"/>
          <w:sz w:val="24"/>
          <w:szCs w:val="24"/>
        </w:rPr>
        <w:t xml:space="preserve">Data submissions are subject to </w:t>
      </w:r>
      <w:r w:rsidRPr="00A25CAD">
        <w:rPr>
          <w:rFonts w:ascii="Times New Roman" w:hAnsi="Times New Roman"/>
          <w:color w:val="000000" w:themeColor="text1"/>
          <w:sz w:val="24"/>
          <w:szCs w:val="24"/>
        </w:rPr>
        <w:t>review and verification</w:t>
      </w:r>
      <w:r w:rsidR="006D11CB" w:rsidRPr="00A25CAD">
        <w:rPr>
          <w:rFonts w:ascii="Times New Roman" w:hAnsi="Times New Roman"/>
          <w:color w:val="000000" w:themeColor="text1"/>
          <w:sz w:val="24"/>
          <w:szCs w:val="24"/>
        </w:rPr>
        <w:t xml:space="preserve"> through whatever mechanisms the Center deems necessary</w:t>
      </w:r>
      <w:r w:rsidR="00685FDE" w:rsidRPr="00A25CAD">
        <w:rPr>
          <w:rFonts w:ascii="Times New Roman" w:hAnsi="Times New Roman"/>
          <w:color w:val="000000" w:themeColor="text1"/>
          <w:sz w:val="24"/>
          <w:szCs w:val="24"/>
        </w:rPr>
        <w:t xml:space="preserve">, including </w:t>
      </w:r>
      <w:r w:rsidR="006D11CB" w:rsidRPr="00A25CAD">
        <w:rPr>
          <w:rFonts w:ascii="Times New Roman" w:hAnsi="Times New Roman"/>
          <w:color w:val="000000" w:themeColor="text1"/>
          <w:sz w:val="24"/>
          <w:szCs w:val="24"/>
        </w:rPr>
        <w:t xml:space="preserve">but not limited to </w:t>
      </w:r>
      <w:r w:rsidR="00E60B65" w:rsidRPr="00A25CAD">
        <w:rPr>
          <w:rFonts w:ascii="Times New Roman" w:hAnsi="Times New Roman"/>
          <w:color w:val="000000" w:themeColor="text1"/>
          <w:sz w:val="24"/>
          <w:szCs w:val="24"/>
        </w:rPr>
        <w:t>matching and validating data from the Massachusetts Division of Insurance's "Annual Comprehensive Financial Statement," the US Consumer Information and Insurance Oversight's (CCIIO) "Medical Loss Ratio Reporting Form," the National Association of Insurance Commissioners (NAIC) "Supplemental Health Care Exhibit</w:t>
      </w:r>
      <w:r w:rsidR="001244FC" w:rsidRPr="00A25CAD">
        <w:rPr>
          <w:rFonts w:ascii="Times New Roman" w:hAnsi="Times New Roman"/>
          <w:color w:val="000000" w:themeColor="text1"/>
          <w:sz w:val="24"/>
          <w:szCs w:val="24"/>
        </w:rPr>
        <w:t>,” the Center’s “Enrollment Trends” reporting, and the Center’s “Total Medical Expenses” reporting.</w:t>
      </w:r>
    </w:p>
    <w:p w14:paraId="2BFDB6AD" w14:textId="77777777" w:rsidR="00143598" w:rsidRPr="00A25CAD" w:rsidRDefault="006D16F7" w:rsidP="00791D9C">
      <w:pPr>
        <w:pStyle w:val="ListParagraph"/>
        <w:numPr>
          <w:ilvl w:val="0"/>
          <w:numId w:val="24"/>
        </w:numPr>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Filing Deadlines</w:t>
      </w:r>
      <w:r w:rsidR="00345A60" w:rsidRPr="00A25CAD">
        <w:rPr>
          <w:rFonts w:ascii="Times New Roman" w:hAnsi="Times New Roman"/>
          <w:color w:val="000000" w:themeColor="text1"/>
          <w:sz w:val="24"/>
          <w:szCs w:val="24"/>
        </w:rPr>
        <w:t>. Each Reporting Year</w:t>
      </w:r>
      <w:r w:rsidR="0058692C" w:rsidRPr="00A25CAD">
        <w:rPr>
          <w:rFonts w:ascii="Times New Roman" w:hAnsi="Times New Roman"/>
          <w:color w:val="000000" w:themeColor="text1"/>
          <w:sz w:val="24"/>
          <w:szCs w:val="24"/>
        </w:rPr>
        <w:t xml:space="preserve">, Payers must submit </w:t>
      </w:r>
      <w:r w:rsidR="0026142C">
        <w:rPr>
          <w:rFonts w:ascii="Times New Roman" w:hAnsi="Times New Roman"/>
          <w:color w:val="000000" w:themeColor="text1"/>
          <w:sz w:val="24"/>
          <w:szCs w:val="24"/>
        </w:rPr>
        <w:t xml:space="preserve">finalized, acceptable </w:t>
      </w:r>
      <w:r w:rsidR="002A214B" w:rsidRPr="00A25CAD">
        <w:rPr>
          <w:rFonts w:ascii="Times New Roman" w:hAnsi="Times New Roman"/>
          <w:color w:val="000000" w:themeColor="text1"/>
          <w:sz w:val="24"/>
          <w:szCs w:val="24"/>
        </w:rPr>
        <w:t>data</w:t>
      </w:r>
      <w:r w:rsidR="0026142C">
        <w:rPr>
          <w:rFonts w:ascii="Times New Roman" w:hAnsi="Times New Roman"/>
          <w:color w:val="000000" w:themeColor="text1"/>
          <w:sz w:val="24"/>
          <w:szCs w:val="24"/>
        </w:rPr>
        <w:t xml:space="preserve"> </w:t>
      </w:r>
      <w:r w:rsidR="00F044F4">
        <w:rPr>
          <w:rFonts w:ascii="Times New Roman" w:hAnsi="Times New Roman"/>
          <w:color w:val="000000" w:themeColor="text1"/>
          <w:sz w:val="24"/>
          <w:szCs w:val="24"/>
        </w:rPr>
        <w:t>(per 957 CMR 10.04(3))</w:t>
      </w:r>
      <w:r w:rsidR="002A214B" w:rsidRPr="00A25CAD">
        <w:rPr>
          <w:rFonts w:ascii="Times New Roman" w:hAnsi="Times New Roman"/>
          <w:color w:val="000000" w:themeColor="text1"/>
          <w:sz w:val="24"/>
          <w:szCs w:val="24"/>
        </w:rPr>
        <w:t xml:space="preserve"> for the </w:t>
      </w:r>
      <w:r w:rsidR="00714025">
        <w:rPr>
          <w:rFonts w:ascii="Times New Roman" w:hAnsi="Times New Roman"/>
          <w:color w:val="000000" w:themeColor="text1"/>
          <w:sz w:val="24"/>
          <w:szCs w:val="24"/>
        </w:rPr>
        <w:t>previous</w:t>
      </w:r>
      <w:r w:rsidR="00966B33" w:rsidRPr="00A25CAD">
        <w:rPr>
          <w:rFonts w:ascii="Times New Roman" w:hAnsi="Times New Roman"/>
          <w:color w:val="000000" w:themeColor="text1"/>
          <w:sz w:val="24"/>
          <w:szCs w:val="24"/>
        </w:rPr>
        <w:t xml:space="preserve"> three Calendar Years by May 10</w:t>
      </w:r>
      <w:r w:rsidR="00097623" w:rsidRPr="00B95D48">
        <w:rPr>
          <w:rFonts w:ascii="Times New Roman" w:hAnsi="Times New Roman"/>
          <w:color w:val="000000" w:themeColor="text1"/>
          <w:sz w:val="24"/>
          <w:szCs w:val="24"/>
          <w:vertAlign w:val="superscript"/>
        </w:rPr>
        <w:t>th</w:t>
      </w:r>
      <w:r w:rsidR="00714025">
        <w:rPr>
          <w:rFonts w:ascii="Times New Roman" w:hAnsi="Times New Roman"/>
          <w:color w:val="000000" w:themeColor="text1"/>
          <w:sz w:val="24"/>
          <w:szCs w:val="24"/>
        </w:rPr>
        <w:t>, unless otherwise instructed in the Data Submission Manual</w:t>
      </w:r>
      <w:r w:rsidR="00F044F4">
        <w:rPr>
          <w:rFonts w:ascii="Times New Roman" w:hAnsi="Times New Roman"/>
          <w:color w:val="000000" w:themeColor="text1"/>
          <w:sz w:val="24"/>
          <w:szCs w:val="24"/>
        </w:rPr>
        <w:t xml:space="preserve"> or by Administrative Bulletin</w:t>
      </w:r>
      <w:r w:rsidR="002A214B" w:rsidRPr="00A25CAD">
        <w:rPr>
          <w:rFonts w:ascii="Times New Roman" w:hAnsi="Times New Roman"/>
          <w:color w:val="000000" w:themeColor="text1"/>
          <w:sz w:val="24"/>
          <w:szCs w:val="24"/>
        </w:rPr>
        <w:t xml:space="preserve">. </w:t>
      </w:r>
    </w:p>
    <w:p w14:paraId="2BFDB6AE" w14:textId="77777777" w:rsidR="0011041C" w:rsidRPr="00A25CAD" w:rsidRDefault="0011041C" w:rsidP="0011041C">
      <w:pPr>
        <w:pStyle w:val="ListParagraph"/>
        <w:widowControl w:val="0"/>
        <w:numPr>
          <w:ilvl w:val="0"/>
          <w:numId w:val="24"/>
        </w:numPr>
        <w:rPr>
          <w:rFonts w:ascii="Times New Roman" w:hAnsi="Times New Roman"/>
          <w:snapToGrid w:val="0"/>
          <w:color w:val="000000" w:themeColor="text1"/>
          <w:sz w:val="24"/>
          <w:szCs w:val="24"/>
        </w:rPr>
      </w:pPr>
      <w:r w:rsidRPr="00A25CAD">
        <w:rPr>
          <w:rFonts w:ascii="Times New Roman" w:hAnsi="Times New Roman"/>
          <w:snapToGrid w:val="0"/>
          <w:color w:val="000000" w:themeColor="text1"/>
          <w:sz w:val="24"/>
          <w:szCs w:val="24"/>
          <w:u w:val="single"/>
        </w:rPr>
        <w:t>Extension Requests</w:t>
      </w:r>
      <w:r w:rsidRPr="00A25CAD">
        <w:rPr>
          <w:rFonts w:ascii="Times New Roman" w:hAnsi="Times New Roman"/>
          <w:snapToGrid w:val="0"/>
          <w:color w:val="000000" w:themeColor="text1"/>
          <w:sz w:val="24"/>
          <w:szCs w:val="24"/>
        </w:rPr>
        <w:t xml:space="preserve">.  </w:t>
      </w:r>
      <w:r w:rsidR="003D0B33" w:rsidRPr="00A25CAD">
        <w:rPr>
          <w:rFonts w:ascii="Times New Roman" w:hAnsi="Times New Roman"/>
          <w:snapToGrid w:val="0"/>
          <w:color w:val="000000" w:themeColor="text1"/>
          <w:sz w:val="24"/>
          <w:szCs w:val="24"/>
        </w:rPr>
        <w:t xml:space="preserve"> The Center</w:t>
      </w:r>
      <w:r w:rsidR="0026142C">
        <w:rPr>
          <w:rFonts w:ascii="Times New Roman" w:hAnsi="Times New Roman"/>
          <w:snapToGrid w:val="0"/>
          <w:color w:val="000000" w:themeColor="text1"/>
          <w:sz w:val="24"/>
          <w:szCs w:val="24"/>
        </w:rPr>
        <w:t xml:space="preserve"> may grant, for good cause, data submission </w:t>
      </w:r>
      <w:r w:rsidRPr="00A25CAD">
        <w:rPr>
          <w:rFonts w:ascii="Times New Roman" w:hAnsi="Times New Roman"/>
          <w:snapToGrid w:val="0"/>
          <w:color w:val="000000" w:themeColor="text1"/>
          <w:sz w:val="24"/>
          <w:szCs w:val="24"/>
        </w:rPr>
        <w:t>extension</w:t>
      </w:r>
      <w:r w:rsidR="0026142C">
        <w:rPr>
          <w:rFonts w:ascii="Times New Roman" w:hAnsi="Times New Roman"/>
          <w:snapToGrid w:val="0"/>
          <w:color w:val="000000" w:themeColor="text1"/>
          <w:sz w:val="24"/>
          <w:szCs w:val="24"/>
        </w:rPr>
        <w:t>s</w:t>
      </w:r>
      <w:r w:rsidRPr="00A25CAD">
        <w:rPr>
          <w:rFonts w:ascii="Times New Roman" w:hAnsi="Times New Roman"/>
          <w:snapToGrid w:val="0"/>
          <w:color w:val="000000" w:themeColor="text1"/>
          <w:sz w:val="24"/>
          <w:szCs w:val="24"/>
        </w:rPr>
        <w:t xml:space="preserve"> </w:t>
      </w:r>
      <w:r w:rsidR="0026142C">
        <w:rPr>
          <w:rFonts w:ascii="Times New Roman" w:hAnsi="Times New Roman"/>
          <w:snapToGrid w:val="0"/>
          <w:color w:val="000000" w:themeColor="text1"/>
          <w:sz w:val="24"/>
          <w:szCs w:val="24"/>
        </w:rPr>
        <w:t xml:space="preserve">for </w:t>
      </w:r>
      <w:r w:rsidRPr="00A25CAD">
        <w:rPr>
          <w:rFonts w:ascii="Times New Roman" w:hAnsi="Times New Roman"/>
          <w:snapToGrid w:val="0"/>
          <w:color w:val="000000" w:themeColor="text1"/>
          <w:sz w:val="24"/>
          <w:szCs w:val="24"/>
        </w:rPr>
        <w:t xml:space="preserve">Payers to submit health care data and information. </w:t>
      </w:r>
    </w:p>
    <w:p w14:paraId="2BFDB6AF" w14:textId="77777777" w:rsidR="00637225" w:rsidRPr="00FC159F" w:rsidRDefault="00637225" w:rsidP="00637225">
      <w:pPr>
        <w:widowControl w:val="0"/>
        <w:rPr>
          <w:rFonts w:ascii="Times New Roman" w:hAnsi="Times New Roman"/>
          <w:color w:val="000000" w:themeColor="text1"/>
          <w:sz w:val="24"/>
          <w:szCs w:val="24"/>
          <w:u w:val="single"/>
        </w:rPr>
      </w:pPr>
      <w:r w:rsidRPr="00FC159F">
        <w:rPr>
          <w:rFonts w:ascii="Times New Roman" w:hAnsi="Times New Roman"/>
          <w:color w:val="000000" w:themeColor="text1"/>
          <w:sz w:val="24"/>
          <w:szCs w:val="24"/>
          <w:u w:val="single"/>
        </w:rPr>
        <w:t>10.05:</w:t>
      </w:r>
      <w:r w:rsidRPr="00FC159F">
        <w:rPr>
          <w:rFonts w:ascii="Times New Roman" w:hAnsi="Times New Roman"/>
          <w:color w:val="000000" w:themeColor="text1"/>
          <w:sz w:val="24"/>
          <w:szCs w:val="24"/>
          <w:u w:val="single"/>
        </w:rPr>
        <w:tab/>
        <w:t>Audits</w:t>
      </w:r>
    </w:p>
    <w:p w14:paraId="2BFDB6B0" w14:textId="77777777" w:rsidR="00E702E5" w:rsidRDefault="0027462B" w:rsidP="00E702E5">
      <w:pPr>
        <w:spacing w:after="0"/>
        <w:ind w:left="720"/>
        <w:rPr>
          <w:rFonts w:ascii="Times New Roman" w:hAnsi="Times New Roman"/>
          <w:color w:val="000000" w:themeColor="text1"/>
          <w:sz w:val="24"/>
          <w:szCs w:val="24"/>
        </w:rPr>
      </w:pPr>
      <w:r w:rsidRPr="00A25CAD">
        <w:rPr>
          <w:rFonts w:ascii="Times New Roman" w:hAnsi="Times New Roman"/>
          <w:color w:val="000000" w:themeColor="text1"/>
          <w:spacing w:val="-3"/>
          <w:sz w:val="24"/>
          <w:szCs w:val="24"/>
        </w:rPr>
        <w:t xml:space="preserve">(1)  </w:t>
      </w:r>
      <w:r w:rsidRPr="00A25CAD">
        <w:rPr>
          <w:rFonts w:ascii="Times New Roman" w:hAnsi="Times New Roman"/>
          <w:color w:val="000000" w:themeColor="text1"/>
          <w:spacing w:val="-3"/>
          <w:sz w:val="24"/>
          <w:szCs w:val="24"/>
          <w:u w:val="single"/>
        </w:rPr>
        <w:t>General</w:t>
      </w:r>
      <w:r w:rsidRPr="00A25CAD">
        <w:rPr>
          <w:rFonts w:ascii="Times New Roman" w:hAnsi="Times New Roman"/>
          <w:color w:val="000000" w:themeColor="text1"/>
          <w:spacing w:val="-3"/>
          <w:sz w:val="24"/>
          <w:szCs w:val="24"/>
        </w:rPr>
        <w:t xml:space="preserve">.  </w:t>
      </w:r>
      <w:r w:rsidR="00637225" w:rsidRPr="00A25CAD">
        <w:rPr>
          <w:rFonts w:ascii="Times New Roman" w:hAnsi="Times New Roman"/>
          <w:color w:val="000000" w:themeColor="text1"/>
          <w:spacing w:val="-3"/>
          <w:sz w:val="24"/>
          <w:szCs w:val="24"/>
        </w:rPr>
        <w:t xml:space="preserve">Submissions under 957 CMR 10.00 may be subject to </w:t>
      </w:r>
      <w:r w:rsidR="00415C72">
        <w:rPr>
          <w:rFonts w:ascii="Times New Roman" w:hAnsi="Times New Roman"/>
          <w:color w:val="000000" w:themeColor="text1"/>
          <w:spacing w:val="-3"/>
          <w:sz w:val="24"/>
          <w:szCs w:val="24"/>
        </w:rPr>
        <w:t>A</w:t>
      </w:r>
      <w:r w:rsidR="00637225" w:rsidRPr="00A25CAD">
        <w:rPr>
          <w:rFonts w:ascii="Times New Roman" w:hAnsi="Times New Roman"/>
          <w:color w:val="000000" w:themeColor="text1"/>
          <w:spacing w:val="-3"/>
          <w:sz w:val="24"/>
          <w:szCs w:val="24"/>
        </w:rPr>
        <w:t>udit by the Center</w:t>
      </w:r>
      <w:r w:rsidR="00C965F7" w:rsidRPr="00A25CAD">
        <w:rPr>
          <w:rFonts w:ascii="Times New Roman" w:hAnsi="Times New Roman"/>
          <w:color w:val="000000" w:themeColor="text1"/>
          <w:spacing w:val="-3"/>
          <w:sz w:val="24"/>
          <w:szCs w:val="24"/>
        </w:rPr>
        <w:t xml:space="preserve"> </w:t>
      </w:r>
      <w:r w:rsidR="00637225" w:rsidRPr="00A25CAD">
        <w:rPr>
          <w:rFonts w:ascii="Times New Roman" w:hAnsi="Times New Roman"/>
          <w:snapToGrid w:val="0"/>
          <w:color w:val="000000" w:themeColor="text1"/>
          <w:sz w:val="24"/>
          <w:szCs w:val="24"/>
        </w:rPr>
        <w:t>to ensure accuracy and consistency in reporting. Payers must submit additional data, information and related documentation as requested by the Center.</w:t>
      </w:r>
    </w:p>
    <w:p w14:paraId="2BFDB6B1" w14:textId="77777777" w:rsidR="00E702E5" w:rsidRDefault="00E702E5" w:rsidP="00E702E5">
      <w:pPr>
        <w:spacing w:after="0"/>
        <w:ind w:left="720"/>
        <w:rPr>
          <w:rFonts w:ascii="Times New Roman" w:hAnsi="Times New Roman"/>
          <w:color w:val="000000" w:themeColor="text1"/>
          <w:sz w:val="24"/>
          <w:szCs w:val="24"/>
        </w:rPr>
      </w:pPr>
    </w:p>
    <w:p w14:paraId="2BFDB6B2" w14:textId="77777777" w:rsidR="002F624C" w:rsidRDefault="00E702E5" w:rsidP="00E702E5">
      <w:pPr>
        <w:spacing w:after="0"/>
        <w:ind w:left="720"/>
        <w:rPr>
          <w:rFonts w:ascii="Times New Roman" w:hAnsi="Times New Roman"/>
          <w:snapToGrid w:val="0"/>
          <w:color w:val="000000" w:themeColor="text1"/>
          <w:sz w:val="24"/>
          <w:szCs w:val="24"/>
          <w:u w:val="single"/>
        </w:rPr>
      </w:pPr>
      <w:r>
        <w:rPr>
          <w:rFonts w:ascii="Times New Roman" w:hAnsi="Times New Roman"/>
          <w:color w:val="000000" w:themeColor="text1"/>
          <w:sz w:val="24"/>
          <w:szCs w:val="24"/>
        </w:rPr>
        <w:t xml:space="preserve">(2) </w:t>
      </w:r>
      <w:r w:rsidR="00FD0146" w:rsidRPr="00E702E5">
        <w:rPr>
          <w:rFonts w:ascii="Times New Roman" w:hAnsi="Times New Roman"/>
          <w:snapToGrid w:val="0"/>
          <w:color w:val="000000" w:themeColor="text1"/>
          <w:sz w:val="24"/>
          <w:szCs w:val="24"/>
          <w:u w:val="single"/>
        </w:rPr>
        <w:t>A</w:t>
      </w:r>
      <w:r w:rsidR="0027462B" w:rsidRPr="00E702E5">
        <w:rPr>
          <w:rFonts w:ascii="Times New Roman" w:hAnsi="Times New Roman"/>
          <w:snapToGrid w:val="0"/>
          <w:color w:val="000000" w:themeColor="text1"/>
          <w:sz w:val="24"/>
          <w:szCs w:val="24"/>
          <w:u w:val="single"/>
        </w:rPr>
        <w:t>udit Adjustment</w:t>
      </w:r>
      <w:r w:rsidR="002204B6" w:rsidRPr="00E702E5">
        <w:rPr>
          <w:rFonts w:ascii="Times New Roman" w:hAnsi="Times New Roman"/>
          <w:snapToGrid w:val="0"/>
          <w:color w:val="000000" w:themeColor="text1"/>
          <w:sz w:val="24"/>
          <w:szCs w:val="24"/>
        </w:rPr>
        <w:t xml:space="preserve">.  If necessary, the Center will work with </w:t>
      </w:r>
      <w:r w:rsidR="007A5BBD" w:rsidRPr="00E702E5">
        <w:rPr>
          <w:rFonts w:ascii="Times New Roman" w:hAnsi="Times New Roman"/>
          <w:snapToGrid w:val="0"/>
          <w:color w:val="000000" w:themeColor="text1"/>
          <w:sz w:val="24"/>
          <w:szCs w:val="24"/>
        </w:rPr>
        <w:t xml:space="preserve">Payers to </w:t>
      </w:r>
      <w:r w:rsidR="002204B6" w:rsidRPr="00E702E5">
        <w:rPr>
          <w:rFonts w:ascii="Times New Roman" w:hAnsi="Times New Roman"/>
          <w:snapToGrid w:val="0"/>
          <w:color w:val="000000" w:themeColor="text1"/>
          <w:sz w:val="24"/>
          <w:szCs w:val="24"/>
        </w:rPr>
        <w:t>adjust reporting to address discrepancies uncovered through</w:t>
      </w:r>
      <w:r w:rsidR="009F0C88" w:rsidRPr="00E702E5">
        <w:rPr>
          <w:rFonts w:ascii="Times New Roman" w:hAnsi="Times New Roman"/>
          <w:snapToGrid w:val="0"/>
          <w:color w:val="000000" w:themeColor="text1"/>
          <w:sz w:val="24"/>
          <w:szCs w:val="24"/>
        </w:rPr>
        <w:t xml:space="preserve"> the</w:t>
      </w:r>
      <w:r w:rsidR="002204B6" w:rsidRPr="00E702E5">
        <w:rPr>
          <w:rFonts w:ascii="Times New Roman" w:hAnsi="Times New Roman"/>
          <w:snapToGrid w:val="0"/>
          <w:color w:val="000000" w:themeColor="text1"/>
          <w:sz w:val="24"/>
          <w:szCs w:val="24"/>
        </w:rPr>
        <w:t xml:space="preserve"> </w:t>
      </w:r>
      <w:r w:rsidR="00415C72" w:rsidRPr="00E702E5">
        <w:rPr>
          <w:rFonts w:ascii="Times New Roman" w:hAnsi="Times New Roman"/>
          <w:snapToGrid w:val="0"/>
          <w:color w:val="000000" w:themeColor="text1"/>
          <w:sz w:val="24"/>
          <w:szCs w:val="24"/>
        </w:rPr>
        <w:t>A</w:t>
      </w:r>
      <w:r w:rsidR="002204B6" w:rsidRPr="00E702E5">
        <w:rPr>
          <w:rFonts w:ascii="Times New Roman" w:hAnsi="Times New Roman"/>
          <w:snapToGrid w:val="0"/>
          <w:color w:val="000000" w:themeColor="text1"/>
          <w:sz w:val="24"/>
          <w:szCs w:val="24"/>
        </w:rPr>
        <w:t>udit process.</w:t>
      </w:r>
      <w:r w:rsidR="002204B6" w:rsidRPr="00E702E5" w:rsidDel="002204B6">
        <w:rPr>
          <w:rFonts w:ascii="Times New Roman" w:hAnsi="Times New Roman"/>
          <w:snapToGrid w:val="0"/>
          <w:color w:val="000000" w:themeColor="text1"/>
          <w:sz w:val="24"/>
          <w:szCs w:val="24"/>
          <w:u w:val="single"/>
        </w:rPr>
        <w:t xml:space="preserve"> </w:t>
      </w:r>
    </w:p>
    <w:p w14:paraId="2BFDB6B3" w14:textId="77777777" w:rsidR="00E702E5" w:rsidRPr="00E702E5" w:rsidRDefault="00E702E5" w:rsidP="00E702E5">
      <w:pPr>
        <w:spacing w:after="0"/>
        <w:ind w:left="720"/>
        <w:rPr>
          <w:rFonts w:ascii="Times New Roman" w:hAnsi="Times New Roman"/>
          <w:color w:val="000000" w:themeColor="text1"/>
          <w:sz w:val="24"/>
          <w:szCs w:val="24"/>
        </w:rPr>
      </w:pPr>
    </w:p>
    <w:p w14:paraId="2BFDB6B4" w14:textId="77777777" w:rsidR="00D76220" w:rsidRPr="00A25CAD" w:rsidRDefault="0011041C" w:rsidP="00D76220">
      <w:pPr>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t>10</w:t>
      </w:r>
      <w:r w:rsidR="000712A5" w:rsidRPr="00A25CAD">
        <w:rPr>
          <w:rFonts w:ascii="Times New Roman" w:hAnsi="Times New Roman"/>
          <w:color w:val="000000" w:themeColor="text1"/>
          <w:sz w:val="24"/>
          <w:szCs w:val="24"/>
          <w:u w:val="single"/>
        </w:rPr>
        <w:t>.</w:t>
      </w:r>
      <w:r w:rsidR="006D16F7" w:rsidRPr="00A25CAD">
        <w:rPr>
          <w:rFonts w:ascii="Times New Roman" w:hAnsi="Times New Roman"/>
          <w:color w:val="000000" w:themeColor="text1"/>
          <w:sz w:val="24"/>
          <w:szCs w:val="24"/>
          <w:u w:val="single"/>
        </w:rPr>
        <w:t>06</w:t>
      </w:r>
      <w:r w:rsidR="00CB3AC6" w:rsidRPr="00A25CAD">
        <w:rPr>
          <w:rFonts w:ascii="Times New Roman" w:hAnsi="Times New Roman"/>
          <w:color w:val="000000" w:themeColor="text1"/>
          <w:sz w:val="24"/>
          <w:szCs w:val="24"/>
          <w:u w:val="single"/>
        </w:rPr>
        <w:t>:</w:t>
      </w:r>
      <w:r w:rsidR="00CB3AC6" w:rsidRPr="00A25CAD">
        <w:rPr>
          <w:rFonts w:ascii="Times New Roman" w:hAnsi="Times New Roman"/>
          <w:color w:val="000000" w:themeColor="text1"/>
          <w:sz w:val="24"/>
          <w:szCs w:val="24"/>
          <w:u w:val="single"/>
        </w:rPr>
        <w:tab/>
      </w:r>
      <w:r w:rsidR="000712A5" w:rsidRPr="00A25CAD">
        <w:rPr>
          <w:rFonts w:ascii="Times New Roman" w:hAnsi="Times New Roman"/>
          <w:color w:val="000000" w:themeColor="text1"/>
          <w:sz w:val="24"/>
          <w:szCs w:val="24"/>
          <w:u w:val="single"/>
        </w:rPr>
        <w:t>Other Provisions</w:t>
      </w:r>
    </w:p>
    <w:p w14:paraId="2BFDB6B5" w14:textId="77777777" w:rsidR="00C00282" w:rsidRPr="00A25CAD" w:rsidRDefault="000712A5" w:rsidP="004D5E3F">
      <w:pPr>
        <w:pStyle w:val="ListParagraph"/>
        <w:numPr>
          <w:ilvl w:val="0"/>
          <w:numId w:val="23"/>
        </w:numPr>
        <w:spacing w:after="0"/>
        <w:rPr>
          <w:rFonts w:ascii="Times New Roman" w:hAnsi="Times New Roman"/>
          <w:color w:val="000000" w:themeColor="text1"/>
          <w:sz w:val="24"/>
          <w:szCs w:val="24"/>
        </w:rPr>
      </w:pPr>
      <w:r w:rsidRPr="00A25CAD">
        <w:rPr>
          <w:rFonts w:ascii="Times New Roman" w:hAnsi="Times New Roman"/>
          <w:color w:val="000000" w:themeColor="text1"/>
          <w:sz w:val="24"/>
          <w:szCs w:val="24"/>
          <w:u w:val="single"/>
        </w:rPr>
        <w:t>Administrative and Technical Information Bulletins</w:t>
      </w:r>
      <w:r w:rsidRPr="00A25CAD">
        <w:rPr>
          <w:rFonts w:ascii="Times New Roman" w:hAnsi="Times New Roman"/>
          <w:color w:val="000000" w:themeColor="text1"/>
          <w:sz w:val="24"/>
          <w:szCs w:val="24"/>
        </w:rPr>
        <w:t>.</w:t>
      </w:r>
      <w:r w:rsidR="004D5E3F" w:rsidRPr="00A25CAD">
        <w:rPr>
          <w:rFonts w:ascii="Times New Roman" w:hAnsi="Times New Roman"/>
          <w:color w:val="000000" w:themeColor="text1"/>
          <w:sz w:val="24"/>
          <w:szCs w:val="24"/>
        </w:rPr>
        <w:t xml:space="preserve"> The Center may revise the specifications or other administrative requirements from time to time by notice or </w:t>
      </w:r>
      <w:r w:rsidR="00F044F4">
        <w:rPr>
          <w:rFonts w:ascii="Times New Roman" w:hAnsi="Times New Roman"/>
          <w:color w:val="000000" w:themeColor="text1"/>
          <w:sz w:val="24"/>
          <w:szCs w:val="24"/>
        </w:rPr>
        <w:t>A</w:t>
      </w:r>
      <w:r w:rsidR="004D5E3F" w:rsidRPr="00A25CAD">
        <w:rPr>
          <w:rFonts w:ascii="Times New Roman" w:hAnsi="Times New Roman"/>
          <w:color w:val="000000" w:themeColor="text1"/>
          <w:sz w:val="24"/>
          <w:szCs w:val="24"/>
        </w:rPr>
        <w:t xml:space="preserve">dministrative </w:t>
      </w:r>
      <w:r w:rsidR="00F044F4">
        <w:rPr>
          <w:rFonts w:ascii="Times New Roman" w:hAnsi="Times New Roman"/>
          <w:color w:val="000000" w:themeColor="text1"/>
          <w:sz w:val="24"/>
          <w:szCs w:val="24"/>
        </w:rPr>
        <w:t>B</w:t>
      </w:r>
      <w:r w:rsidR="004D5E3F" w:rsidRPr="00A25CAD">
        <w:rPr>
          <w:rFonts w:ascii="Times New Roman" w:hAnsi="Times New Roman"/>
          <w:color w:val="000000" w:themeColor="text1"/>
          <w:sz w:val="24"/>
          <w:szCs w:val="24"/>
        </w:rPr>
        <w:t>ulletin.</w:t>
      </w:r>
    </w:p>
    <w:p w14:paraId="2BFDB6B6" w14:textId="77777777" w:rsidR="00784A60" w:rsidRPr="00A25CAD" w:rsidRDefault="00784A60" w:rsidP="004D5E3F">
      <w:pPr>
        <w:pStyle w:val="Default"/>
        <w:spacing w:line="276" w:lineRule="auto"/>
        <w:rPr>
          <w:color w:val="000000" w:themeColor="text1"/>
        </w:rPr>
      </w:pPr>
    </w:p>
    <w:p w14:paraId="2BFDB6B7" w14:textId="77777777" w:rsidR="0011041C" w:rsidRPr="002E32D3" w:rsidRDefault="00784A60" w:rsidP="00AB6D45">
      <w:pPr>
        <w:pStyle w:val="ListParagraph"/>
        <w:numPr>
          <w:ilvl w:val="0"/>
          <w:numId w:val="23"/>
        </w:numPr>
        <w:autoSpaceDE w:val="0"/>
        <w:autoSpaceDN w:val="0"/>
        <w:adjustRightInd w:val="0"/>
        <w:rPr>
          <w:rFonts w:ascii="Times New Roman" w:hAnsi="Times New Roman"/>
          <w:color w:val="000000" w:themeColor="text1"/>
          <w:sz w:val="24"/>
          <w:szCs w:val="24"/>
          <w:u w:val="single"/>
        </w:rPr>
      </w:pPr>
      <w:bookmarkStart w:id="0" w:name="14"/>
      <w:r w:rsidRPr="00A25CAD">
        <w:rPr>
          <w:rFonts w:ascii="Times New Roman" w:hAnsi="Times New Roman"/>
          <w:color w:val="000000" w:themeColor="text1"/>
          <w:sz w:val="24"/>
          <w:szCs w:val="24"/>
          <w:u w:val="single"/>
        </w:rPr>
        <w:t>Confidentiality</w:t>
      </w:r>
      <w:r w:rsidR="002E6FE4" w:rsidRPr="00A25CAD">
        <w:rPr>
          <w:rFonts w:ascii="Times New Roman" w:hAnsi="Times New Roman"/>
          <w:color w:val="000000" w:themeColor="text1"/>
          <w:sz w:val="24"/>
          <w:szCs w:val="24"/>
        </w:rPr>
        <w:t>.</w:t>
      </w:r>
      <w:r w:rsidRPr="00A25CAD">
        <w:rPr>
          <w:rFonts w:ascii="Times New Roman" w:hAnsi="Times New Roman"/>
          <w:color w:val="000000" w:themeColor="text1"/>
          <w:sz w:val="24"/>
          <w:szCs w:val="24"/>
        </w:rPr>
        <w:t xml:space="preserve"> </w:t>
      </w:r>
      <w:r w:rsidR="00AB6D45" w:rsidRPr="00A25CAD">
        <w:rPr>
          <w:rFonts w:ascii="Times New Roman" w:hAnsi="Times New Roman"/>
          <w:color w:val="000000" w:themeColor="text1"/>
          <w:sz w:val="24"/>
          <w:szCs w:val="24"/>
        </w:rPr>
        <w:t xml:space="preserve">Except as specifically provided otherwise by </w:t>
      </w:r>
      <w:r w:rsidR="006A0C05">
        <w:rPr>
          <w:rFonts w:ascii="Times New Roman" w:hAnsi="Times New Roman"/>
          <w:color w:val="000000" w:themeColor="text1"/>
          <w:sz w:val="24"/>
          <w:szCs w:val="24"/>
        </w:rPr>
        <w:t>the Center</w:t>
      </w:r>
      <w:r w:rsidR="00AB6D45" w:rsidRPr="00A25CAD">
        <w:rPr>
          <w:rFonts w:ascii="Times New Roman" w:hAnsi="Times New Roman"/>
          <w:color w:val="000000" w:themeColor="text1"/>
          <w:sz w:val="24"/>
          <w:szCs w:val="24"/>
        </w:rPr>
        <w:t xml:space="preserve"> or M.G.L. c. 12C, </w:t>
      </w:r>
      <w:r w:rsidRPr="00A25CAD">
        <w:rPr>
          <w:rFonts w:ascii="Times New Roman" w:hAnsi="Times New Roman"/>
          <w:color w:val="000000" w:themeColor="text1"/>
          <w:sz w:val="24"/>
          <w:szCs w:val="24"/>
        </w:rPr>
        <w:t xml:space="preserve">health care data and information collected pursuant to </w:t>
      </w:r>
      <w:r w:rsidR="0064062A" w:rsidRPr="00A25CAD">
        <w:rPr>
          <w:rFonts w:ascii="Times New Roman" w:hAnsi="Times New Roman"/>
          <w:color w:val="000000" w:themeColor="text1"/>
          <w:sz w:val="24"/>
          <w:szCs w:val="24"/>
        </w:rPr>
        <w:t xml:space="preserve">M.G.L. c. 12C, § 10 </w:t>
      </w:r>
      <w:r w:rsidRPr="00A25CAD">
        <w:rPr>
          <w:rFonts w:ascii="Times New Roman" w:hAnsi="Times New Roman"/>
          <w:color w:val="000000" w:themeColor="text1"/>
          <w:sz w:val="24"/>
          <w:szCs w:val="24"/>
        </w:rPr>
        <w:t xml:space="preserve">and </w:t>
      </w:r>
      <w:r w:rsidR="0064062A" w:rsidRPr="00A25CAD">
        <w:rPr>
          <w:rFonts w:ascii="Times New Roman" w:hAnsi="Times New Roman"/>
          <w:color w:val="000000" w:themeColor="text1"/>
          <w:sz w:val="24"/>
          <w:szCs w:val="24"/>
        </w:rPr>
        <w:t xml:space="preserve">957 CMR </w:t>
      </w:r>
      <w:r w:rsidR="0011041C" w:rsidRPr="00A25CAD">
        <w:rPr>
          <w:rFonts w:ascii="Times New Roman" w:hAnsi="Times New Roman"/>
          <w:color w:val="000000" w:themeColor="text1"/>
          <w:sz w:val="24"/>
          <w:szCs w:val="24"/>
        </w:rPr>
        <w:t>10</w:t>
      </w:r>
      <w:r w:rsidR="0064062A" w:rsidRPr="00A25CAD">
        <w:rPr>
          <w:rFonts w:ascii="Times New Roman" w:hAnsi="Times New Roman"/>
          <w:color w:val="000000" w:themeColor="text1"/>
          <w:sz w:val="24"/>
          <w:szCs w:val="24"/>
        </w:rPr>
        <w:t>.</w:t>
      </w:r>
      <w:r w:rsidR="002E6FE4" w:rsidRPr="00A25CAD">
        <w:rPr>
          <w:rFonts w:ascii="Times New Roman" w:hAnsi="Times New Roman"/>
          <w:color w:val="000000" w:themeColor="text1"/>
          <w:sz w:val="24"/>
          <w:szCs w:val="24"/>
        </w:rPr>
        <w:t>00</w:t>
      </w:r>
      <w:r w:rsidRPr="00A25CAD">
        <w:rPr>
          <w:rFonts w:ascii="Times New Roman" w:hAnsi="Times New Roman"/>
          <w:color w:val="000000" w:themeColor="text1"/>
          <w:sz w:val="24"/>
          <w:szCs w:val="24"/>
        </w:rPr>
        <w:t xml:space="preserve"> </w:t>
      </w:r>
      <w:r w:rsidR="00276ADF" w:rsidRPr="00A25CAD">
        <w:rPr>
          <w:rFonts w:ascii="Times New Roman" w:hAnsi="Times New Roman"/>
          <w:color w:val="000000" w:themeColor="text1"/>
          <w:sz w:val="24"/>
          <w:szCs w:val="24"/>
        </w:rPr>
        <w:t>shall</w:t>
      </w:r>
      <w:r w:rsidRPr="00A25CAD">
        <w:rPr>
          <w:rFonts w:ascii="Times New Roman" w:hAnsi="Times New Roman"/>
          <w:color w:val="000000" w:themeColor="text1"/>
          <w:sz w:val="24"/>
          <w:szCs w:val="24"/>
        </w:rPr>
        <w:t xml:space="preserve"> not </w:t>
      </w:r>
      <w:r w:rsidR="00276ADF" w:rsidRPr="00A25CAD">
        <w:rPr>
          <w:rFonts w:ascii="Times New Roman" w:hAnsi="Times New Roman"/>
          <w:color w:val="000000" w:themeColor="text1"/>
          <w:sz w:val="24"/>
          <w:szCs w:val="24"/>
        </w:rPr>
        <w:t xml:space="preserve">be </w:t>
      </w:r>
      <w:r w:rsidRPr="00A25CAD">
        <w:rPr>
          <w:rFonts w:ascii="Times New Roman" w:hAnsi="Times New Roman"/>
          <w:color w:val="000000" w:themeColor="text1"/>
          <w:sz w:val="24"/>
          <w:szCs w:val="24"/>
        </w:rPr>
        <w:t>a public record.</w:t>
      </w:r>
      <w:bookmarkEnd w:id="0"/>
      <w:r w:rsidRPr="00A25CAD">
        <w:rPr>
          <w:rFonts w:ascii="Times New Roman" w:hAnsi="Times New Roman"/>
          <w:color w:val="000000" w:themeColor="text1"/>
          <w:sz w:val="24"/>
          <w:szCs w:val="24"/>
        </w:rPr>
        <w:t xml:space="preserve"> </w:t>
      </w:r>
      <w:r w:rsidR="00276ADF" w:rsidRPr="00A25CAD">
        <w:rPr>
          <w:rFonts w:ascii="Times New Roman" w:hAnsi="Times New Roman"/>
          <w:color w:val="000000" w:themeColor="text1"/>
          <w:sz w:val="24"/>
          <w:szCs w:val="24"/>
        </w:rPr>
        <w:t>Except as otherwise provided, t</w:t>
      </w:r>
      <w:r w:rsidRPr="00A25CAD">
        <w:rPr>
          <w:rFonts w:ascii="Times New Roman" w:hAnsi="Times New Roman"/>
          <w:color w:val="000000" w:themeColor="text1"/>
          <w:sz w:val="24"/>
          <w:szCs w:val="24"/>
        </w:rPr>
        <w:t xml:space="preserve">he </w:t>
      </w:r>
      <w:r w:rsidR="0064062A" w:rsidRPr="00A25CAD">
        <w:rPr>
          <w:rFonts w:ascii="Times New Roman" w:hAnsi="Times New Roman"/>
          <w:color w:val="000000" w:themeColor="text1"/>
          <w:sz w:val="24"/>
          <w:szCs w:val="24"/>
        </w:rPr>
        <w:t>Center</w:t>
      </w:r>
      <w:r w:rsidRPr="00A25CAD">
        <w:rPr>
          <w:rFonts w:ascii="Times New Roman" w:hAnsi="Times New Roman"/>
          <w:color w:val="000000" w:themeColor="text1"/>
          <w:sz w:val="24"/>
          <w:szCs w:val="24"/>
        </w:rPr>
        <w:t xml:space="preserve"> will not disclose or release specific health plan actuarial assumptions submitted in accordance with </w:t>
      </w:r>
      <w:r w:rsidR="0064062A" w:rsidRPr="00A25CAD">
        <w:rPr>
          <w:rFonts w:ascii="Times New Roman" w:hAnsi="Times New Roman"/>
          <w:color w:val="000000" w:themeColor="text1"/>
          <w:sz w:val="24"/>
          <w:szCs w:val="24"/>
        </w:rPr>
        <w:t xml:space="preserve">957 CMR </w:t>
      </w:r>
      <w:r w:rsidR="0011041C" w:rsidRPr="00A25CAD">
        <w:rPr>
          <w:rFonts w:ascii="Times New Roman" w:hAnsi="Times New Roman"/>
          <w:color w:val="000000" w:themeColor="text1"/>
          <w:sz w:val="24"/>
          <w:szCs w:val="24"/>
        </w:rPr>
        <w:t>10</w:t>
      </w:r>
      <w:r w:rsidR="0064062A" w:rsidRPr="00A25CAD">
        <w:rPr>
          <w:rFonts w:ascii="Times New Roman" w:hAnsi="Times New Roman"/>
          <w:color w:val="000000" w:themeColor="text1"/>
          <w:sz w:val="24"/>
          <w:szCs w:val="24"/>
        </w:rPr>
        <w:t>.</w:t>
      </w:r>
      <w:r w:rsidR="002E6FE4" w:rsidRPr="00A25CAD">
        <w:rPr>
          <w:rFonts w:ascii="Times New Roman" w:hAnsi="Times New Roman"/>
          <w:color w:val="000000" w:themeColor="text1"/>
          <w:sz w:val="24"/>
          <w:szCs w:val="24"/>
        </w:rPr>
        <w:t>00</w:t>
      </w:r>
      <w:r w:rsidRPr="00A25CAD">
        <w:rPr>
          <w:rFonts w:ascii="Times New Roman" w:hAnsi="Times New Roman"/>
          <w:color w:val="000000" w:themeColor="text1"/>
          <w:sz w:val="24"/>
          <w:szCs w:val="24"/>
        </w:rPr>
        <w:t>.</w:t>
      </w:r>
    </w:p>
    <w:p w14:paraId="2BFDB6B8" w14:textId="77777777" w:rsidR="00C92338" w:rsidRPr="00A25CAD" w:rsidRDefault="00C92338" w:rsidP="00C92338">
      <w:pPr>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lastRenderedPageBreak/>
        <w:t>10.</w:t>
      </w:r>
      <w:r>
        <w:rPr>
          <w:rFonts w:ascii="Times New Roman" w:hAnsi="Times New Roman"/>
          <w:color w:val="000000" w:themeColor="text1"/>
          <w:sz w:val="24"/>
          <w:szCs w:val="24"/>
          <w:u w:val="single"/>
        </w:rPr>
        <w:t>07</w:t>
      </w:r>
      <w:r w:rsidRPr="00A25CAD">
        <w:rPr>
          <w:rFonts w:ascii="Times New Roman" w:hAnsi="Times New Roman"/>
          <w:color w:val="000000" w:themeColor="text1"/>
          <w:sz w:val="24"/>
          <w:szCs w:val="24"/>
          <w:u w:val="single"/>
        </w:rPr>
        <w:t>:</w:t>
      </w:r>
      <w:r w:rsidRPr="00A25CAD">
        <w:rPr>
          <w:rFonts w:ascii="Times New Roman" w:hAnsi="Times New Roman"/>
          <w:color w:val="000000" w:themeColor="text1"/>
          <w:sz w:val="24"/>
          <w:szCs w:val="24"/>
          <w:u w:val="single"/>
        </w:rPr>
        <w:tab/>
      </w:r>
      <w:r w:rsidR="00C667DF">
        <w:rPr>
          <w:rFonts w:ascii="Times New Roman" w:hAnsi="Times New Roman"/>
          <w:color w:val="000000" w:themeColor="text1"/>
          <w:sz w:val="24"/>
          <w:szCs w:val="24"/>
          <w:u w:val="single"/>
        </w:rPr>
        <w:t xml:space="preserve">Compliance and </w:t>
      </w:r>
      <w:r>
        <w:rPr>
          <w:rFonts w:ascii="Times New Roman" w:hAnsi="Times New Roman"/>
          <w:color w:val="000000" w:themeColor="text1"/>
          <w:sz w:val="24"/>
          <w:szCs w:val="24"/>
          <w:u w:val="single"/>
        </w:rPr>
        <w:t>Penalties</w:t>
      </w:r>
    </w:p>
    <w:p w14:paraId="2BFDB6B9" w14:textId="77777777" w:rsidR="001F7E64" w:rsidRPr="00B95D48" w:rsidRDefault="00C92338" w:rsidP="00B95D48">
      <w:pPr>
        <w:autoSpaceDE w:val="0"/>
        <w:autoSpaceDN w:val="0"/>
        <w:adjustRightInd w:val="0"/>
        <w:ind w:left="720"/>
        <w:rPr>
          <w:rFonts w:ascii="Times New Roman" w:hAnsi="Times New Roman"/>
          <w:color w:val="000000" w:themeColor="text1"/>
          <w:sz w:val="24"/>
          <w:szCs w:val="24"/>
        </w:rPr>
      </w:pPr>
      <w:r w:rsidRPr="005051D2">
        <w:rPr>
          <w:rFonts w:ascii="Times New Roman" w:hAnsi="Times New Roman"/>
          <w:color w:val="000000" w:themeColor="text1"/>
          <w:sz w:val="24"/>
          <w:szCs w:val="24"/>
        </w:rPr>
        <w:t xml:space="preserve">(1) </w:t>
      </w:r>
      <w:r w:rsidR="003D0B33" w:rsidRPr="002E32D3">
        <w:rPr>
          <w:rFonts w:ascii="Times New Roman" w:hAnsi="Times New Roman"/>
          <w:color w:val="000000" w:themeColor="text1"/>
          <w:sz w:val="24"/>
          <w:szCs w:val="24"/>
        </w:rPr>
        <w:t>The Center</w:t>
      </w:r>
      <w:r w:rsidR="001F7E64" w:rsidRPr="002E32D3">
        <w:rPr>
          <w:rFonts w:ascii="Times New Roman" w:hAnsi="Times New Roman"/>
          <w:color w:val="000000" w:themeColor="text1"/>
          <w:sz w:val="24"/>
          <w:szCs w:val="24"/>
        </w:rPr>
        <w:t xml:space="preserve"> will provide written notice to Payers that fail to comply with the reporting deadlines established in 957 CMR 10.00.</w:t>
      </w:r>
      <w:r w:rsidR="00E702E5">
        <w:rPr>
          <w:rFonts w:ascii="Times New Roman" w:hAnsi="Times New Roman"/>
          <w:color w:val="000000" w:themeColor="text1"/>
          <w:sz w:val="24"/>
          <w:szCs w:val="24"/>
        </w:rPr>
        <w:t xml:space="preserve"> </w:t>
      </w:r>
      <w:r w:rsidR="003D0B33" w:rsidRPr="00B95D48">
        <w:rPr>
          <w:rFonts w:ascii="Times New Roman" w:hAnsi="Times New Roman"/>
          <w:color w:val="000000" w:themeColor="text1"/>
          <w:sz w:val="24"/>
          <w:szCs w:val="24"/>
        </w:rPr>
        <w:t>The Center</w:t>
      </w:r>
      <w:r w:rsidR="001F7E64" w:rsidRPr="00B95D48">
        <w:rPr>
          <w:rFonts w:ascii="Times New Roman" w:hAnsi="Times New Roman"/>
          <w:color w:val="000000" w:themeColor="text1"/>
          <w:sz w:val="24"/>
          <w:szCs w:val="24"/>
        </w:rPr>
        <w:t xml:space="preserve"> will</w:t>
      </w:r>
      <w:r w:rsidR="00601E48" w:rsidRPr="00B95D48">
        <w:rPr>
          <w:rFonts w:ascii="Times New Roman" w:hAnsi="Times New Roman"/>
          <w:color w:val="000000" w:themeColor="text1"/>
          <w:sz w:val="24"/>
          <w:szCs w:val="24"/>
        </w:rPr>
        <w:t xml:space="preserve"> notify Payers that failure to provide reportable data</w:t>
      </w:r>
      <w:r w:rsidR="005F6108" w:rsidRPr="00B95D48">
        <w:rPr>
          <w:rFonts w:ascii="Times New Roman" w:hAnsi="Times New Roman"/>
          <w:color w:val="000000" w:themeColor="text1"/>
          <w:sz w:val="24"/>
          <w:szCs w:val="24"/>
        </w:rPr>
        <w:t>,</w:t>
      </w:r>
      <w:r w:rsidR="00C667DF" w:rsidRPr="00B95D48">
        <w:rPr>
          <w:rFonts w:ascii="Times New Roman" w:hAnsi="Times New Roman"/>
          <w:color w:val="000000" w:themeColor="text1"/>
          <w:sz w:val="24"/>
          <w:szCs w:val="24"/>
        </w:rPr>
        <w:t xml:space="preserve"> including corrected data </w:t>
      </w:r>
      <w:r w:rsidR="005F6108" w:rsidRPr="00B95D48">
        <w:rPr>
          <w:rFonts w:ascii="Times New Roman" w:hAnsi="Times New Roman"/>
          <w:color w:val="000000" w:themeColor="text1"/>
          <w:sz w:val="24"/>
          <w:szCs w:val="24"/>
        </w:rPr>
        <w:t>as described in 957 CMR 10.04(3),</w:t>
      </w:r>
      <w:r w:rsidR="001F7E64" w:rsidRPr="00B95D48">
        <w:rPr>
          <w:rFonts w:ascii="Times New Roman" w:hAnsi="Times New Roman"/>
          <w:color w:val="000000" w:themeColor="text1"/>
          <w:sz w:val="24"/>
          <w:szCs w:val="24"/>
        </w:rPr>
        <w:t xml:space="preserve"> within two weeks of the written notice, without just cause, may result in penalties. In accordance with M.G.L. c.</w:t>
      </w:r>
      <w:r w:rsidR="00BC738D" w:rsidRPr="00B95D48">
        <w:rPr>
          <w:rFonts w:ascii="Times New Roman" w:hAnsi="Times New Roman"/>
          <w:color w:val="000000" w:themeColor="text1"/>
          <w:sz w:val="24"/>
          <w:szCs w:val="24"/>
        </w:rPr>
        <w:t xml:space="preserve"> 12C, § 11, Payers</w:t>
      </w:r>
      <w:r w:rsidR="001F7E64" w:rsidRPr="00B95D48">
        <w:rPr>
          <w:rFonts w:ascii="Times New Roman" w:hAnsi="Times New Roman"/>
          <w:color w:val="000000" w:themeColor="text1"/>
          <w:sz w:val="24"/>
          <w:szCs w:val="24"/>
        </w:rPr>
        <w:t xml:space="preserve"> may be subject to a penalty of up to $1,000 per week for each week that </w:t>
      </w:r>
      <w:r w:rsidR="00C61B1C" w:rsidRPr="00B95D48">
        <w:rPr>
          <w:rFonts w:ascii="Times New Roman" w:hAnsi="Times New Roman"/>
          <w:color w:val="000000" w:themeColor="text1"/>
          <w:sz w:val="24"/>
          <w:szCs w:val="24"/>
        </w:rPr>
        <w:t>the Payer</w:t>
      </w:r>
      <w:r w:rsidR="001F7E64" w:rsidRPr="00B95D48">
        <w:rPr>
          <w:rFonts w:ascii="Times New Roman" w:hAnsi="Times New Roman"/>
          <w:color w:val="000000" w:themeColor="text1"/>
          <w:sz w:val="24"/>
          <w:szCs w:val="24"/>
        </w:rPr>
        <w:t xml:space="preserve"> fail</w:t>
      </w:r>
      <w:r w:rsidR="00C61B1C" w:rsidRPr="00B95D48">
        <w:rPr>
          <w:rFonts w:ascii="Times New Roman" w:hAnsi="Times New Roman"/>
          <w:color w:val="000000" w:themeColor="text1"/>
          <w:sz w:val="24"/>
          <w:szCs w:val="24"/>
        </w:rPr>
        <w:t>s</w:t>
      </w:r>
      <w:r w:rsidR="001F7E64" w:rsidRPr="00B95D48">
        <w:rPr>
          <w:rFonts w:ascii="Times New Roman" w:hAnsi="Times New Roman"/>
          <w:color w:val="000000" w:themeColor="text1"/>
          <w:sz w:val="24"/>
          <w:szCs w:val="24"/>
        </w:rPr>
        <w:t xml:space="preserve"> to provide the required health care data and information, up to an annual maximum of $50,000.</w:t>
      </w:r>
    </w:p>
    <w:p w14:paraId="2BFDB6BA" w14:textId="77777777" w:rsidR="00AB6D45" w:rsidRPr="002E32D3" w:rsidRDefault="00C92338" w:rsidP="002E32D3">
      <w:pPr>
        <w:autoSpaceDE w:val="0"/>
        <w:autoSpaceDN w:val="0"/>
        <w:adjustRightInd w:val="0"/>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001F7E64" w:rsidRPr="002E32D3">
        <w:rPr>
          <w:rFonts w:ascii="Times New Roman" w:hAnsi="Times New Roman"/>
          <w:color w:val="000000" w:themeColor="text1"/>
          <w:sz w:val="24"/>
          <w:szCs w:val="24"/>
        </w:rPr>
        <w:t>Any</w:t>
      </w:r>
      <w:r w:rsidR="00580B06" w:rsidRPr="002E32D3">
        <w:rPr>
          <w:rFonts w:ascii="Times New Roman" w:hAnsi="Times New Roman"/>
          <w:color w:val="000000" w:themeColor="text1"/>
          <w:sz w:val="24"/>
          <w:szCs w:val="24"/>
        </w:rPr>
        <w:t xml:space="preserve"> </w:t>
      </w:r>
      <w:r w:rsidR="00BC738D" w:rsidRPr="002E32D3">
        <w:rPr>
          <w:rFonts w:ascii="Times New Roman" w:hAnsi="Times New Roman"/>
          <w:color w:val="000000" w:themeColor="text1"/>
          <w:sz w:val="24"/>
          <w:szCs w:val="24"/>
        </w:rPr>
        <w:t>remedy available under 957 CMR 10.</w:t>
      </w:r>
      <w:r w:rsidR="00C61B1C">
        <w:rPr>
          <w:rFonts w:ascii="Times New Roman" w:hAnsi="Times New Roman"/>
          <w:color w:val="000000" w:themeColor="text1"/>
          <w:sz w:val="24"/>
          <w:szCs w:val="24"/>
        </w:rPr>
        <w:t>07</w:t>
      </w:r>
      <w:r w:rsidR="001F7E64" w:rsidRPr="002E32D3">
        <w:rPr>
          <w:rFonts w:ascii="Times New Roman" w:hAnsi="Times New Roman"/>
          <w:color w:val="000000" w:themeColor="text1"/>
          <w:sz w:val="24"/>
          <w:szCs w:val="24"/>
        </w:rPr>
        <w:t xml:space="preserve"> is in addition to other sanctions and penalties that may apply under the provisions of other statutes and regulations. </w:t>
      </w:r>
    </w:p>
    <w:p w14:paraId="2BFDB6BB" w14:textId="77777777" w:rsidR="00AB6D45" w:rsidRDefault="00C61B1C" w:rsidP="002E32D3">
      <w:pPr>
        <w:autoSpaceDE w:val="0"/>
        <w:autoSpaceDN w:val="0"/>
        <w:adjustRightInd w:val="0"/>
        <w:ind w:left="720"/>
        <w:rPr>
          <w:rFonts w:ascii="Times New Roman" w:eastAsia="Times New Roman" w:hAnsi="Times New Roman"/>
          <w:color w:val="000000" w:themeColor="text1"/>
          <w:sz w:val="24"/>
          <w:szCs w:val="24"/>
        </w:rPr>
      </w:pPr>
      <w:r>
        <w:rPr>
          <w:rFonts w:ascii="Times New Roman" w:hAnsi="Times New Roman"/>
          <w:color w:val="000000" w:themeColor="text1"/>
          <w:sz w:val="24"/>
          <w:szCs w:val="24"/>
        </w:rPr>
        <w:t>(3</w:t>
      </w:r>
      <w:r w:rsidR="00C92338">
        <w:rPr>
          <w:rFonts w:ascii="Times New Roman" w:hAnsi="Times New Roman"/>
          <w:color w:val="000000" w:themeColor="text1"/>
          <w:sz w:val="24"/>
          <w:szCs w:val="24"/>
        </w:rPr>
        <w:t xml:space="preserve">) </w:t>
      </w:r>
      <w:r w:rsidR="006A0C05">
        <w:rPr>
          <w:rFonts w:ascii="Times New Roman" w:eastAsia="Times New Roman" w:hAnsi="Times New Roman"/>
          <w:color w:val="000000" w:themeColor="text1"/>
          <w:sz w:val="24"/>
          <w:szCs w:val="24"/>
        </w:rPr>
        <w:t>The Center</w:t>
      </w:r>
      <w:r w:rsidR="00AB6D45" w:rsidRPr="002E32D3">
        <w:rPr>
          <w:rFonts w:ascii="Times New Roman" w:eastAsia="Times New Roman" w:hAnsi="Times New Roman"/>
          <w:color w:val="000000" w:themeColor="text1"/>
          <w:sz w:val="24"/>
          <w:szCs w:val="24"/>
        </w:rPr>
        <w:t xml:space="preserve"> may notify the Attorney General's Office to enforce the provisions of 957 CMR 10.</w:t>
      </w:r>
      <w:r>
        <w:rPr>
          <w:rFonts w:ascii="Times New Roman" w:eastAsia="Times New Roman" w:hAnsi="Times New Roman"/>
          <w:color w:val="000000" w:themeColor="text1"/>
          <w:sz w:val="24"/>
          <w:szCs w:val="24"/>
        </w:rPr>
        <w:t>07</w:t>
      </w:r>
      <w:r w:rsidR="00AB6D45" w:rsidRPr="002E32D3">
        <w:rPr>
          <w:rFonts w:ascii="Times New Roman" w:eastAsia="Times New Roman" w:hAnsi="Times New Roman"/>
          <w:color w:val="000000" w:themeColor="text1"/>
          <w:sz w:val="24"/>
          <w:szCs w:val="24"/>
        </w:rPr>
        <w:t>.</w:t>
      </w:r>
    </w:p>
    <w:p w14:paraId="5779F42E" w14:textId="50640864" w:rsidR="00013BCF" w:rsidRPr="00F906AB" w:rsidRDefault="00013BCF" w:rsidP="00013BCF">
      <w:pPr>
        <w:spacing w:after="0" w:line="240" w:lineRule="auto"/>
        <w:ind w:left="720"/>
        <w:rPr>
          <w:rFonts w:ascii="Times New Roman" w:eastAsia="Times New Roman" w:hAnsi="Times New Roman"/>
          <w:sz w:val="24"/>
          <w:szCs w:val="24"/>
        </w:rPr>
      </w:pPr>
      <w:r w:rsidRPr="00F906AB">
        <w:rPr>
          <w:rFonts w:ascii="Times New Roman" w:eastAsia="Times New Roman" w:hAnsi="Times New Roman"/>
          <w:sz w:val="24"/>
          <w:szCs w:val="24"/>
        </w:rPr>
        <w:t xml:space="preserve">(4) Before assessing a penalty, the Center shall notify the </w:t>
      </w:r>
      <w:r w:rsidR="00786EF2">
        <w:rPr>
          <w:rFonts w:ascii="Times New Roman" w:eastAsia="Times New Roman" w:hAnsi="Times New Roman"/>
          <w:sz w:val="24"/>
          <w:szCs w:val="24"/>
        </w:rPr>
        <w:t>Payer</w:t>
      </w:r>
      <w:r w:rsidRPr="00F906AB">
        <w:rPr>
          <w:rFonts w:ascii="Times New Roman" w:eastAsia="Times New Roman" w:hAnsi="Times New Roman"/>
          <w:sz w:val="24"/>
          <w:szCs w:val="24"/>
        </w:rPr>
        <w:t xml:space="preserve"> that has failed to comply with the requirements of 957 CMR </w:t>
      </w:r>
      <w:r w:rsidR="00D934C5">
        <w:rPr>
          <w:rFonts w:ascii="Times New Roman" w:eastAsia="Times New Roman" w:hAnsi="Times New Roman"/>
          <w:sz w:val="24"/>
          <w:szCs w:val="24"/>
        </w:rPr>
        <w:t>10</w:t>
      </w:r>
      <w:r w:rsidRPr="00F906AB">
        <w:rPr>
          <w:rFonts w:ascii="Times New Roman" w:eastAsia="Times New Roman" w:hAnsi="Times New Roman"/>
          <w:sz w:val="24"/>
          <w:szCs w:val="24"/>
        </w:rPr>
        <w:t xml:space="preserve">.00 that it has the right to request a hearing in accordance with M.G.L. c. 30A, § 10. </w:t>
      </w:r>
    </w:p>
    <w:p w14:paraId="7C996445" w14:textId="77777777" w:rsidR="00013BCF" w:rsidRPr="00F906AB" w:rsidRDefault="00013BCF" w:rsidP="00013BCF">
      <w:pPr>
        <w:spacing w:after="0" w:line="240" w:lineRule="auto"/>
        <w:ind w:left="720"/>
        <w:rPr>
          <w:rFonts w:ascii="Times New Roman" w:eastAsia="Times New Roman" w:hAnsi="Times New Roman"/>
          <w:sz w:val="24"/>
          <w:szCs w:val="24"/>
        </w:rPr>
      </w:pPr>
    </w:p>
    <w:p w14:paraId="23A8B563" w14:textId="4BD4B813" w:rsidR="00013BCF" w:rsidRPr="00F906AB" w:rsidRDefault="00013BCF" w:rsidP="00013BCF">
      <w:pPr>
        <w:spacing w:after="0" w:line="240" w:lineRule="auto"/>
        <w:ind w:left="720"/>
        <w:rPr>
          <w:rFonts w:ascii="Times New Roman" w:eastAsia="Times New Roman" w:hAnsi="Times New Roman"/>
          <w:color w:val="000000"/>
          <w:sz w:val="24"/>
          <w:szCs w:val="24"/>
        </w:rPr>
      </w:pPr>
      <w:r w:rsidRPr="00F906AB">
        <w:rPr>
          <w:rFonts w:ascii="Times New Roman" w:eastAsia="Times New Roman" w:hAnsi="Times New Roman"/>
          <w:sz w:val="24"/>
          <w:szCs w:val="24"/>
        </w:rPr>
        <w:t xml:space="preserve">(5) If a hearing is timely requested in writing, the Center, including through a Presiding Officer, will conduct the hearing in accordance with 801 CMR 1.00: </w:t>
      </w:r>
      <w:r w:rsidRPr="00F906AB">
        <w:rPr>
          <w:rFonts w:ascii="Times New Roman" w:eastAsia="Times New Roman" w:hAnsi="Times New Roman"/>
          <w:i/>
          <w:iCs/>
          <w:sz w:val="24"/>
          <w:szCs w:val="24"/>
        </w:rPr>
        <w:t>Standard Adjudicatory Rules of Practice and Procedure</w:t>
      </w:r>
      <w:r w:rsidRPr="00F906AB">
        <w:rPr>
          <w:rFonts w:ascii="Times New Roman" w:eastAsia="Times New Roman" w:hAnsi="Times New Roman"/>
          <w:sz w:val="24"/>
          <w:szCs w:val="24"/>
        </w:rPr>
        <w:t xml:space="preserve">.  After the hearing, the Center shall render a written decision and may assess a </w:t>
      </w:r>
      <w:r w:rsidRPr="00F906AB">
        <w:rPr>
          <w:rFonts w:ascii="Times New Roman" w:eastAsia="Times New Roman" w:hAnsi="Times New Roman"/>
          <w:color w:val="000000"/>
          <w:sz w:val="24"/>
          <w:szCs w:val="24"/>
        </w:rPr>
        <w:t xml:space="preserve">civil penalty pursuant to 957 CMR </w:t>
      </w:r>
      <w:r w:rsidR="00786EF2">
        <w:rPr>
          <w:rFonts w:ascii="Times New Roman" w:eastAsia="Times New Roman" w:hAnsi="Times New Roman"/>
          <w:color w:val="000000"/>
          <w:sz w:val="24"/>
          <w:szCs w:val="24"/>
        </w:rPr>
        <w:t>10.07</w:t>
      </w:r>
      <w:r w:rsidRPr="00F906AB">
        <w:rPr>
          <w:rFonts w:ascii="Times New Roman" w:eastAsia="Times New Roman" w:hAnsi="Times New Roman"/>
          <w:color w:val="000000"/>
          <w:sz w:val="24"/>
          <w:szCs w:val="24"/>
        </w:rPr>
        <w:t xml:space="preserve">(1). </w:t>
      </w:r>
    </w:p>
    <w:p w14:paraId="1A43566F" w14:textId="77777777" w:rsidR="00013BCF" w:rsidRPr="00F906AB" w:rsidRDefault="00013BCF" w:rsidP="00013BCF">
      <w:pPr>
        <w:spacing w:after="0" w:line="240" w:lineRule="auto"/>
        <w:ind w:left="720"/>
        <w:rPr>
          <w:rFonts w:ascii="Times New Roman" w:eastAsia="Times New Roman" w:hAnsi="Times New Roman"/>
          <w:color w:val="000000"/>
          <w:sz w:val="24"/>
          <w:szCs w:val="24"/>
        </w:rPr>
      </w:pPr>
    </w:p>
    <w:p w14:paraId="35A2DCA7" w14:textId="32363583" w:rsidR="00013BCF" w:rsidRDefault="00013BCF" w:rsidP="00C545D4">
      <w:pPr>
        <w:spacing w:after="0" w:line="240" w:lineRule="auto"/>
        <w:ind w:left="720"/>
        <w:rPr>
          <w:rFonts w:ascii="Times New Roman" w:eastAsia="Times New Roman" w:hAnsi="Times New Roman"/>
          <w:sz w:val="24"/>
          <w:szCs w:val="24"/>
        </w:rPr>
      </w:pPr>
      <w:r w:rsidRPr="00F906AB">
        <w:rPr>
          <w:rFonts w:ascii="Times New Roman" w:eastAsia="Times New Roman" w:hAnsi="Times New Roman"/>
          <w:sz w:val="24"/>
          <w:szCs w:val="24"/>
        </w:rPr>
        <w:t>(6) After the issuance of a final decision, except where any provision of law precludes judicial review, a</w:t>
      </w:r>
      <w:r w:rsidR="00786EF2">
        <w:rPr>
          <w:rFonts w:ascii="Times New Roman" w:eastAsia="Times New Roman" w:hAnsi="Times New Roman"/>
          <w:sz w:val="24"/>
          <w:szCs w:val="24"/>
        </w:rPr>
        <w:t xml:space="preserve"> Payer</w:t>
      </w:r>
      <w:r w:rsidRPr="00F906AB">
        <w:rPr>
          <w:rFonts w:ascii="Times New Roman" w:eastAsia="Times New Roman" w:hAnsi="Times New Roman"/>
          <w:sz w:val="24"/>
          <w:szCs w:val="24"/>
        </w:rPr>
        <w:t xml:space="preserve"> aggrieved by such final decision may seek judicial review thereof in accordance with M.G.L. c. 30A, § 14.</w:t>
      </w:r>
    </w:p>
    <w:p w14:paraId="1C2231CF" w14:textId="77777777" w:rsidR="00C545D4" w:rsidRPr="00F906AB" w:rsidRDefault="00C545D4" w:rsidP="00F906AB">
      <w:pPr>
        <w:spacing w:after="0" w:line="240" w:lineRule="auto"/>
        <w:ind w:left="720"/>
        <w:rPr>
          <w:rFonts w:ascii="Times New Roman" w:eastAsia="Times New Roman" w:hAnsi="Times New Roman"/>
          <w:sz w:val="24"/>
          <w:szCs w:val="24"/>
        </w:rPr>
      </w:pPr>
    </w:p>
    <w:p w14:paraId="2BFDB6BC" w14:textId="77777777" w:rsidR="002E6FE4" w:rsidRPr="00A25CAD" w:rsidRDefault="0011041C" w:rsidP="002E6FE4">
      <w:pPr>
        <w:rPr>
          <w:rFonts w:ascii="Times New Roman" w:hAnsi="Times New Roman"/>
          <w:color w:val="000000" w:themeColor="text1"/>
          <w:sz w:val="24"/>
          <w:szCs w:val="24"/>
          <w:u w:val="single"/>
        </w:rPr>
      </w:pPr>
      <w:r w:rsidRPr="00A25CAD">
        <w:rPr>
          <w:rFonts w:ascii="Times New Roman" w:hAnsi="Times New Roman"/>
          <w:color w:val="000000" w:themeColor="text1"/>
          <w:sz w:val="24"/>
          <w:szCs w:val="24"/>
          <w:u w:val="single"/>
        </w:rPr>
        <w:t>10</w:t>
      </w:r>
      <w:r w:rsidR="002E6FE4" w:rsidRPr="00A25CAD">
        <w:rPr>
          <w:rFonts w:ascii="Times New Roman" w:hAnsi="Times New Roman"/>
          <w:color w:val="000000" w:themeColor="text1"/>
          <w:sz w:val="24"/>
          <w:szCs w:val="24"/>
          <w:u w:val="single"/>
        </w:rPr>
        <w:t>.0</w:t>
      </w:r>
      <w:r w:rsidR="00EC253F">
        <w:rPr>
          <w:rFonts w:ascii="Times New Roman" w:hAnsi="Times New Roman"/>
          <w:color w:val="000000" w:themeColor="text1"/>
          <w:sz w:val="24"/>
          <w:szCs w:val="24"/>
          <w:u w:val="single"/>
        </w:rPr>
        <w:t>8</w:t>
      </w:r>
      <w:r w:rsidR="002E6FE4" w:rsidRPr="00A25CAD">
        <w:rPr>
          <w:rFonts w:ascii="Times New Roman" w:hAnsi="Times New Roman"/>
          <w:color w:val="000000" w:themeColor="text1"/>
          <w:sz w:val="24"/>
          <w:szCs w:val="24"/>
          <w:u w:val="single"/>
        </w:rPr>
        <w:t>:</w:t>
      </w:r>
      <w:r w:rsidR="002E6FE4" w:rsidRPr="00A25CAD">
        <w:rPr>
          <w:rFonts w:ascii="Times New Roman" w:hAnsi="Times New Roman"/>
          <w:color w:val="000000" w:themeColor="text1"/>
          <w:sz w:val="24"/>
          <w:szCs w:val="24"/>
          <w:u w:val="single"/>
        </w:rPr>
        <w:tab/>
        <w:t>Severability</w:t>
      </w:r>
    </w:p>
    <w:p w14:paraId="2BFDB6BD" w14:textId="77777777" w:rsidR="00F73A23" w:rsidRPr="00A25CAD" w:rsidRDefault="001F789B">
      <w:pPr>
        <w:autoSpaceDE w:val="0"/>
        <w:autoSpaceDN w:val="0"/>
        <w:adjustRightInd w:val="0"/>
        <w:ind w:left="720"/>
        <w:rPr>
          <w:rFonts w:ascii="Times New Roman" w:hAnsi="Times New Roman"/>
          <w:color w:val="000000" w:themeColor="text1"/>
          <w:sz w:val="24"/>
          <w:szCs w:val="24"/>
          <w:u w:val="single"/>
        </w:rPr>
      </w:pPr>
      <w:r>
        <w:rPr>
          <w:rFonts w:ascii="Times New Roman" w:eastAsia="Times New Roman" w:hAnsi="Times New Roman"/>
          <w:color w:val="000000" w:themeColor="text1"/>
          <w:sz w:val="24"/>
          <w:szCs w:val="24"/>
        </w:rPr>
        <w:t xml:space="preserve">   </w:t>
      </w:r>
      <w:r w:rsidR="00DA1A1E" w:rsidRPr="00A25CAD">
        <w:rPr>
          <w:rFonts w:ascii="Times New Roman" w:eastAsia="Times New Roman" w:hAnsi="Times New Roman"/>
          <w:color w:val="000000" w:themeColor="text1"/>
          <w:sz w:val="24"/>
          <w:szCs w:val="24"/>
        </w:rPr>
        <w:t xml:space="preserve">The provisions of 957 CMR </w:t>
      </w:r>
      <w:r w:rsidR="001F7E64" w:rsidRPr="00A25CAD">
        <w:rPr>
          <w:rFonts w:ascii="Times New Roman" w:eastAsia="Times New Roman" w:hAnsi="Times New Roman"/>
          <w:color w:val="000000" w:themeColor="text1"/>
          <w:sz w:val="24"/>
          <w:szCs w:val="24"/>
        </w:rPr>
        <w:t>10.00</w:t>
      </w:r>
      <w:r w:rsidR="00DA1A1E" w:rsidRPr="00A25CAD">
        <w:rPr>
          <w:rFonts w:ascii="Times New Roman" w:eastAsia="Times New Roman" w:hAnsi="Times New Roman"/>
          <w:color w:val="000000" w:themeColor="text1"/>
          <w:sz w:val="24"/>
          <w:szCs w:val="24"/>
        </w:rPr>
        <w:t xml:space="preserve"> are severable. If any provision or the application of any provision is held to be invalid or unconstitutional, such invalidity shall not be construed to affect the validity or constitutionality of any remaining provisions of 957 CMR </w:t>
      </w:r>
      <w:r w:rsidR="0011041C" w:rsidRPr="00A25CAD">
        <w:rPr>
          <w:rFonts w:ascii="Times New Roman" w:eastAsia="Times New Roman" w:hAnsi="Times New Roman"/>
          <w:color w:val="000000" w:themeColor="text1"/>
          <w:sz w:val="24"/>
          <w:szCs w:val="24"/>
        </w:rPr>
        <w:t>10</w:t>
      </w:r>
      <w:r w:rsidR="00DA1A1E" w:rsidRPr="00A25CAD">
        <w:rPr>
          <w:rFonts w:ascii="Times New Roman" w:eastAsia="Times New Roman" w:hAnsi="Times New Roman"/>
          <w:color w:val="000000" w:themeColor="text1"/>
          <w:sz w:val="24"/>
          <w:szCs w:val="24"/>
        </w:rPr>
        <w:t>.</w:t>
      </w:r>
      <w:r w:rsidR="002E6FE4" w:rsidRPr="00A25CAD">
        <w:rPr>
          <w:rFonts w:ascii="Times New Roman" w:eastAsia="Times New Roman" w:hAnsi="Times New Roman"/>
          <w:color w:val="000000" w:themeColor="text1"/>
          <w:sz w:val="24"/>
          <w:szCs w:val="24"/>
        </w:rPr>
        <w:t>00</w:t>
      </w:r>
      <w:r w:rsidR="00DA1A1E" w:rsidRPr="00A25CAD">
        <w:rPr>
          <w:rFonts w:ascii="Times New Roman" w:eastAsia="Times New Roman" w:hAnsi="Times New Roman"/>
          <w:color w:val="000000" w:themeColor="text1"/>
          <w:sz w:val="24"/>
          <w:szCs w:val="24"/>
        </w:rPr>
        <w:t xml:space="preserve"> or the application of such provisions.</w:t>
      </w:r>
    </w:p>
    <w:p w14:paraId="2BFDB6BE" w14:textId="77777777" w:rsidR="002E6FE4" w:rsidRPr="00A25CAD" w:rsidRDefault="002E6FE4" w:rsidP="00EC0DAD">
      <w:pPr>
        <w:spacing w:after="0" w:line="240" w:lineRule="auto"/>
        <w:outlineLvl w:val="0"/>
        <w:rPr>
          <w:rFonts w:ascii="Times New Roman" w:eastAsia="Times New Roman" w:hAnsi="Times New Roman"/>
          <w:color w:val="000000" w:themeColor="text1"/>
          <w:sz w:val="24"/>
          <w:szCs w:val="24"/>
        </w:rPr>
      </w:pPr>
    </w:p>
    <w:p w14:paraId="2BFDB6BF" w14:textId="77777777" w:rsidR="00F73A23" w:rsidRPr="00A25CAD" w:rsidRDefault="00F73A23" w:rsidP="00EC0DAD">
      <w:pPr>
        <w:spacing w:after="0" w:line="240" w:lineRule="auto"/>
        <w:outlineLvl w:val="0"/>
        <w:rPr>
          <w:rFonts w:ascii="Times New Roman" w:eastAsia="Times New Roman" w:hAnsi="Times New Roman"/>
          <w:color w:val="000000" w:themeColor="text1"/>
          <w:sz w:val="24"/>
          <w:szCs w:val="24"/>
        </w:rPr>
      </w:pPr>
      <w:r w:rsidRPr="00A25CAD">
        <w:rPr>
          <w:rFonts w:ascii="Times New Roman" w:eastAsia="Times New Roman" w:hAnsi="Times New Roman"/>
          <w:color w:val="000000" w:themeColor="text1"/>
          <w:sz w:val="24"/>
          <w:szCs w:val="24"/>
        </w:rPr>
        <w:t xml:space="preserve">REGULATORY AUTHORITY </w:t>
      </w:r>
    </w:p>
    <w:p w14:paraId="2BFDB6C0" w14:textId="77777777" w:rsidR="00F73A23" w:rsidRPr="00A25CAD" w:rsidRDefault="00F73A23" w:rsidP="00EC0DAD">
      <w:pPr>
        <w:spacing w:after="0" w:line="240" w:lineRule="auto"/>
        <w:rPr>
          <w:rFonts w:ascii="Times New Roman" w:eastAsia="Times New Roman" w:hAnsi="Times New Roman"/>
          <w:color w:val="000000" w:themeColor="text1"/>
          <w:sz w:val="24"/>
          <w:szCs w:val="24"/>
        </w:rPr>
      </w:pPr>
    </w:p>
    <w:p w14:paraId="2BFDB6C1" w14:textId="77777777" w:rsidR="00F73A23" w:rsidRPr="00FC159F" w:rsidRDefault="00F73A23" w:rsidP="00EC0DAD">
      <w:pPr>
        <w:pStyle w:val="Default"/>
        <w:spacing w:line="276" w:lineRule="auto"/>
        <w:ind w:left="720"/>
        <w:rPr>
          <w:color w:val="000000" w:themeColor="text1"/>
        </w:rPr>
      </w:pPr>
      <w:r w:rsidRPr="00A25CAD">
        <w:rPr>
          <w:rFonts w:eastAsia="Times New Roman"/>
          <w:color w:val="000000" w:themeColor="text1"/>
        </w:rPr>
        <w:t xml:space="preserve">957 CMR </w:t>
      </w:r>
      <w:r w:rsidR="0011041C" w:rsidRPr="00A25CAD">
        <w:rPr>
          <w:rFonts w:eastAsia="Times New Roman"/>
          <w:color w:val="000000" w:themeColor="text1"/>
        </w:rPr>
        <w:t>10</w:t>
      </w:r>
      <w:r w:rsidR="007F6FAD" w:rsidRPr="00A25CAD">
        <w:rPr>
          <w:rFonts w:eastAsia="Times New Roman"/>
          <w:color w:val="000000" w:themeColor="text1"/>
        </w:rPr>
        <w:t>.</w:t>
      </w:r>
      <w:r w:rsidR="002E6FE4" w:rsidRPr="00A25CAD">
        <w:rPr>
          <w:rFonts w:eastAsia="Times New Roman"/>
          <w:color w:val="000000" w:themeColor="text1"/>
        </w:rPr>
        <w:t>00</w:t>
      </w:r>
      <w:r w:rsidRPr="00A25CAD">
        <w:rPr>
          <w:rFonts w:eastAsia="Times New Roman"/>
          <w:color w:val="000000" w:themeColor="text1"/>
        </w:rPr>
        <w:t>: M.G.L. c. 12C</w:t>
      </w:r>
    </w:p>
    <w:sectPr w:rsidR="00F73A23" w:rsidRPr="00FC159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DB6C5" w14:textId="77777777" w:rsidR="009B6CF8" w:rsidRDefault="009B6CF8" w:rsidP="00D76220">
      <w:pPr>
        <w:spacing w:after="0" w:line="240" w:lineRule="auto"/>
      </w:pPr>
      <w:r>
        <w:separator/>
      </w:r>
    </w:p>
  </w:endnote>
  <w:endnote w:type="continuationSeparator" w:id="0">
    <w:p w14:paraId="2BFDB6C6" w14:textId="77777777" w:rsidR="009B6CF8" w:rsidRDefault="009B6CF8" w:rsidP="00D76220">
      <w:pPr>
        <w:spacing w:after="0" w:line="240" w:lineRule="auto"/>
      </w:pPr>
      <w:r>
        <w:continuationSeparator/>
      </w:r>
    </w:p>
  </w:endnote>
  <w:endnote w:type="continuationNotice" w:id="1">
    <w:p w14:paraId="2BFDB6C7" w14:textId="77777777" w:rsidR="009B6CF8" w:rsidRDefault="009B6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B6CF" w14:textId="56C959A5" w:rsidR="009F3FDC" w:rsidRDefault="009F3FD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1639BD">
      <w:rPr>
        <w:rFonts w:asciiTheme="majorHAnsi" w:eastAsiaTheme="majorEastAsia" w:hAnsiTheme="majorHAnsi" w:cstheme="majorBidi"/>
      </w:rPr>
      <w:t>December 20,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55E9C" w:rsidRPr="00E55E9C">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BFDB6D0" w14:textId="77777777" w:rsidR="009F3FDC" w:rsidRDefault="009F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DB6C2" w14:textId="77777777" w:rsidR="009B6CF8" w:rsidRDefault="009B6CF8" w:rsidP="00D76220">
      <w:pPr>
        <w:spacing w:after="0" w:line="240" w:lineRule="auto"/>
      </w:pPr>
      <w:r>
        <w:separator/>
      </w:r>
    </w:p>
  </w:footnote>
  <w:footnote w:type="continuationSeparator" w:id="0">
    <w:p w14:paraId="2BFDB6C3" w14:textId="77777777" w:rsidR="009B6CF8" w:rsidRDefault="009B6CF8" w:rsidP="00D76220">
      <w:pPr>
        <w:spacing w:after="0" w:line="240" w:lineRule="auto"/>
      </w:pPr>
      <w:r>
        <w:continuationSeparator/>
      </w:r>
    </w:p>
  </w:footnote>
  <w:footnote w:type="continuationNotice" w:id="1">
    <w:p w14:paraId="2BFDB6C4" w14:textId="77777777" w:rsidR="009B6CF8" w:rsidRDefault="009B6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B6C8" w14:textId="2D63F7CA" w:rsidR="009F3FDC" w:rsidRPr="002E6FE4" w:rsidRDefault="009F3FDC" w:rsidP="009F3FDC">
    <w:pPr>
      <w:pStyle w:val="Header"/>
      <w:spacing w:after="0" w:line="240" w:lineRule="auto"/>
      <w:rPr>
        <w:rFonts w:ascii="Times New Roman" w:hAnsi="Times New Roman"/>
        <w:sz w:val="24"/>
        <w:szCs w:val="24"/>
      </w:rPr>
    </w:pPr>
    <w:r>
      <w:tab/>
    </w:r>
    <w:r>
      <w:tab/>
    </w:r>
    <w:r w:rsidR="00417E37">
      <w:rPr>
        <w:rFonts w:ascii="Times New Roman" w:hAnsi="Times New Roman"/>
        <w:sz w:val="24"/>
        <w:szCs w:val="24"/>
      </w:rPr>
      <w:t>Proposed</w:t>
    </w:r>
    <w:r w:rsidR="00417E37" w:rsidRPr="002E6FE4">
      <w:rPr>
        <w:rFonts w:ascii="Times New Roman" w:hAnsi="Times New Roman"/>
        <w:sz w:val="24"/>
        <w:szCs w:val="24"/>
      </w:rPr>
      <w:t xml:space="preserve"> </w:t>
    </w:r>
    <w:r w:rsidRPr="002E6FE4">
      <w:rPr>
        <w:rFonts w:ascii="Times New Roman" w:hAnsi="Times New Roman"/>
        <w:sz w:val="24"/>
        <w:szCs w:val="24"/>
      </w:rPr>
      <w:t>Regulation</w:t>
    </w:r>
  </w:p>
  <w:p w14:paraId="2BFDB6C9" w14:textId="226C0567" w:rsidR="00E006C0" w:rsidRDefault="009F3FDC" w:rsidP="00AB2B58">
    <w:pPr>
      <w:pStyle w:val="Header"/>
      <w:spacing w:after="0" w:line="240" w:lineRule="auto"/>
    </w:pPr>
    <w:r w:rsidRPr="002E6FE4">
      <w:rPr>
        <w:rFonts w:ascii="Times New Roman" w:hAnsi="Times New Roman"/>
        <w:sz w:val="24"/>
        <w:szCs w:val="24"/>
      </w:rPr>
      <w:tab/>
    </w:r>
    <w:r w:rsidRPr="002E6FE4">
      <w:rPr>
        <w:rFonts w:ascii="Times New Roman" w:hAnsi="Times New Roman"/>
        <w:sz w:val="24"/>
        <w:szCs w:val="24"/>
      </w:rPr>
      <w:tab/>
    </w:r>
    <w:r w:rsidR="00417E37">
      <w:rPr>
        <w:rFonts w:ascii="Times New Roman" w:hAnsi="Times New Roman"/>
        <w:sz w:val="24"/>
        <w:szCs w:val="24"/>
      </w:rPr>
      <w:t xml:space="preserve">September </w:t>
    </w:r>
    <w:r w:rsidR="001639BD">
      <w:rPr>
        <w:rFonts w:ascii="Times New Roman" w:hAnsi="Times New Roman"/>
        <w:sz w:val="24"/>
        <w:szCs w:val="24"/>
      </w:rPr>
      <w:t>27</w:t>
    </w:r>
    <w:r w:rsidR="00417E37">
      <w:rPr>
        <w:rFonts w:ascii="Times New Roman" w:hAnsi="Times New Roman"/>
        <w:sz w:val="24"/>
        <w:szCs w:val="24"/>
      </w:rPr>
      <w:t>, 2024</w:t>
    </w:r>
  </w:p>
  <w:p w14:paraId="2BFDB6CA" w14:textId="77777777" w:rsidR="00E006C0" w:rsidRPr="00E006C0" w:rsidRDefault="00E006C0" w:rsidP="00E006C0">
    <w:pPr>
      <w:tabs>
        <w:tab w:val="left" w:pos="2460"/>
        <w:tab w:val="center" w:pos="4680"/>
        <w:tab w:val="right" w:pos="9360"/>
      </w:tabs>
      <w:spacing w:after="0" w:line="240" w:lineRule="auto"/>
      <w:rPr>
        <w:rFonts w:ascii="Times New Roman" w:hAnsi="Times New Roman"/>
      </w:rPr>
    </w:pPr>
  </w:p>
  <w:p w14:paraId="2BFDB6CB" w14:textId="77777777" w:rsidR="00E006C0" w:rsidRPr="00E006C0" w:rsidRDefault="00E006C0" w:rsidP="00E006C0">
    <w:pPr>
      <w:autoSpaceDE w:val="0"/>
      <w:autoSpaceDN w:val="0"/>
      <w:adjustRightInd w:val="0"/>
      <w:spacing w:after="0" w:line="240" w:lineRule="auto"/>
      <w:jc w:val="center"/>
      <w:rPr>
        <w:rFonts w:ascii="Times New Roman" w:hAnsi="Times New Roman"/>
        <w:color w:val="000000"/>
        <w:sz w:val="24"/>
        <w:szCs w:val="24"/>
      </w:rPr>
    </w:pPr>
    <w:r w:rsidRPr="00E006C0">
      <w:rPr>
        <w:rFonts w:ascii="Times New Roman" w:hAnsi="Times New Roman"/>
        <w:color w:val="000000"/>
        <w:sz w:val="24"/>
        <w:szCs w:val="24"/>
      </w:rPr>
      <w:t>957 CMR: Center for Health Information and Analysis</w:t>
    </w:r>
  </w:p>
  <w:p w14:paraId="2BFDB6CC" w14:textId="77777777" w:rsidR="00E006C0" w:rsidRDefault="00E006C0" w:rsidP="00AB2B58">
    <w:pPr>
      <w:rPr>
        <w:rFonts w:ascii="Times New Roman" w:eastAsia="Times New Roman" w:hAnsi="Times New Roman"/>
        <w:sz w:val="24"/>
        <w:szCs w:val="24"/>
      </w:rPr>
    </w:pPr>
  </w:p>
  <w:p w14:paraId="2BFDB6CD" w14:textId="77777777" w:rsidR="009F3FDC" w:rsidRPr="00AB2B58" w:rsidRDefault="00FA03A5" w:rsidP="00AB2B58">
    <w:pPr>
      <w:jc w:val="center"/>
      <w:rPr>
        <w:rFonts w:ascii="Times New Roman" w:eastAsia="Times New Roman" w:hAnsi="Times New Roman"/>
        <w:sz w:val="24"/>
        <w:szCs w:val="24"/>
      </w:rPr>
    </w:pPr>
    <w:r w:rsidRPr="0011041C">
      <w:rPr>
        <w:rFonts w:ascii="Times New Roman" w:eastAsia="Times New Roman" w:hAnsi="Times New Roman"/>
        <w:sz w:val="24"/>
        <w:szCs w:val="24"/>
      </w:rPr>
      <w:t xml:space="preserve">957 CMR </w:t>
    </w:r>
    <w:r w:rsidR="0011041C">
      <w:rPr>
        <w:rFonts w:ascii="Times New Roman" w:eastAsia="Times New Roman" w:hAnsi="Times New Roman"/>
        <w:sz w:val="24"/>
        <w:szCs w:val="24"/>
      </w:rPr>
      <w:t>10</w:t>
    </w:r>
    <w:r w:rsidRPr="0011041C">
      <w:rPr>
        <w:rFonts w:ascii="Times New Roman" w:eastAsia="Times New Roman" w:hAnsi="Times New Roman"/>
        <w:sz w:val="24"/>
        <w:szCs w:val="24"/>
      </w:rPr>
      <w:t xml:space="preserve">.00: </w:t>
    </w:r>
    <w:r w:rsidR="002E6FE4" w:rsidRPr="0011041C">
      <w:rPr>
        <w:rFonts w:ascii="Times New Roman" w:eastAsia="Times New Roman" w:hAnsi="Times New Roman"/>
        <w:sz w:val="24"/>
        <w:szCs w:val="24"/>
      </w:rPr>
      <w:t>Health Care Payers Premiums and Claims Data Reporting Requirements</w:t>
    </w:r>
  </w:p>
  <w:p w14:paraId="2BFDB6CE" w14:textId="77777777" w:rsidR="00C413E4" w:rsidRDefault="00C413E4" w:rsidP="009F3FDC">
    <w:pPr>
      <w:pStyle w:val="Defaul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14431"/>
    <w:multiLevelType w:val="hybridMultilevel"/>
    <w:tmpl w:val="B6AEC7EE"/>
    <w:lvl w:ilvl="0" w:tplc="37005BB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23D66"/>
    <w:multiLevelType w:val="hybridMultilevel"/>
    <w:tmpl w:val="83C6C876"/>
    <w:lvl w:ilvl="0" w:tplc="B566985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BF7460B"/>
    <w:multiLevelType w:val="hybridMultilevel"/>
    <w:tmpl w:val="B052C492"/>
    <w:lvl w:ilvl="0" w:tplc="3D404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016FE"/>
    <w:multiLevelType w:val="hybridMultilevel"/>
    <w:tmpl w:val="969A1414"/>
    <w:lvl w:ilvl="0" w:tplc="C2025058">
      <w:start w:val="1"/>
      <w:numFmt w:val="decimal"/>
      <w:suff w:val="space"/>
      <w:lvlText w:val="(%1)"/>
      <w:lvlJc w:val="left"/>
      <w:pPr>
        <w:ind w:left="720" w:firstLine="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564F0"/>
    <w:multiLevelType w:val="hybridMultilevel"/>
    <w:tmpl w:val="4178FC92"/>
    <w:lvl w:ilvl="0" w:tplc="3BA20FDA">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AF7CB3"/>
    <w:multiLevelType w:val="hybridMultilevel"/>
    <w:tmpl w:val="EE4EB798"/>
    <w:lvl w:ilvl="0" w:tplc="12F8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CC3D13"/>
    <w:multiLevelType w:val="hybridMultilevel"/>
    <w:tmpl w:val="15F840E6"/>
    <w:lvl w:ilvl="0" w:tplc="3BA20FD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63F45"/>
    <w:multiLevelType w:val="hybridMultilevel"/>
    <w:tmpl w:val="0EA06AB4"/>
    <w:lvl w:ilvl="0" w:tplc="87AC6A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36E1E"/>
    <w:multiLevelType w:val="hybridMultilevel"/>
    <w:tmpl w:val="3392B8E0"/>
    <w:lvl w:ilvl="0" w:tplc="256AA6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0244E"/>
    <w:multiLevelType w:val="hybridMultilevel"/>
    <w:tmpl w:val="5CA23646"/>
    <w:lvl w:ilvl="0" w:tplc="7236003C">
      <w:start w:val="1"/>
      <w:numFmt w:val="decimal"/>
      <w:suff w:val="space"/>
      <w:lvlText w:val="(%1)"/>
      <w:lvlJc w:val="left"/>
      <w:pPr>
        <w:ind w:left="720" w:firstLine="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5155BE"/>
    <w:multiLevelType w:val="hybridMultilevel"/>
    <w:tmpl w:val="ABE043BC"/>
    <w:lvl w:ilvl="0" w:tplc="AC5819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2CD6A3E"/>
    <w:multiLevelType w:val="hybridMultilevel"/>
    <w:tmpl w:val="4C5CE0D6"/>
    <w:lvl w:ilvl="0" w:tplc="37005BB2">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2A48F3"/>
    <w:multiLevelType w:val="hybridMultilevel"/>
    <w:tmpl w:val="4E9292C2"/>
    <w:lvl w:ilvl="0" w:tplc="BA864CB4">
      <w:start w:val="1"/>
      <w:numFmt w:val="decimal"/>
      <w:suff w:val="space"/>
      <w:lvlText w:val="(%1)"/>
      <w:lvlJc w:val="left"/>
      <w:pPr>
        <w:ind w:left="720" w:firstLine="0"/>
      </w:pPr>
      <w:rPr>
        <w:rFonts w:hint="default"/>
        <w:i w:val="0"/>
        <w:color w:val="auto"/>
      </w:rPr>
    </w:lvl>
    <w:lvl w:ilvl="1" w:tplc="04905864">
      <w:start w:val="1"/>
      <w:numFmt w:val="lowerLetter"/>
      <w:suff w:val="space"/>
      <w:lvlText w:val="(%2)"/>
      <w:lvlJc w:val="left"/>
      <w:pPr>
        <w:ind w:left="1440" w:firstLine="0"/>
      </w:pPr>
      <w:rPr>
        <w:rFonts w:hint="default"/>
        <w:i w:val="0"/>
      </w:rPr>
    </w:lvl>
    <w:lvl w:ilvl="2" w:tplc="7B36599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56E09"/>
    <w:multiLevelType w:val="hybridMultilevel"/>
    <w:tmpl w:val="4D7A91AA"/>
    <w:lvl w:ilvl="0" w:tplc="3BA20FDA">
      <w:start w:val="1"/>
      <w:numFmt w:val="decimal"/>
      <w:lvlText w:val="(%1)"/>
      <w:lvlJc w:val="left"/>
      <w:pPr>
        <w:ind w:left="1500" w:hanging="360"/>
      </w:pPr>
      <w:rPr>
        <w:rFonts w:ascii="Times New Roman" w:eastAsia="Calibri" w:hAnsi="Times New Roman" w:cs="Times New Roman"/>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507B4BB3"/>
    <w:multiLevelType w:val="hybridMultilevel"/>
    <w:tmpl w:val="19D0A2B6"/>
    <w:lvl w:ilvl="0" w:tplc="04090019">
      <w:start w:val="1"/>
      <w:numFmt w:val="lowerLetter"/>
      <w:lvlText w:val="%1."/>
      <w:lvlJc w:val="left"/>
      <w:pPr>
        <w:ind w:left="1080" w:hanging="360"/>
      </w:pPr>
    </w:lvl>
    <w:lvl w:ilvl="1" w:tplc="42148482">
      <w:start w:val="1"/>
      <w:numFmt w:val="lowerLetter"/>
      <w:lvlText w:val="(%2)"/>
      <w:lvlJc w:val="left"/>
      <w:pPr>
        <w:ind w:left="1800" w:hanging="360"/>
      </w:pPr>
      <w:rPr>
        <w:rFonts w:hint="default"/>
      </w:rPr>
    </w:lvl>
    <w:lvl w:ilvl="2" w:tplc="04090019">
      <w:start w:val="1"/>
      <w:numFmt w:val="lowerLetter"/>
      <w:lvlText w:val="%3."/>
      <w:lvlJc w:val="left"/>
      <w:pPr>
        <w:ind w:left="2520" w:hanging="180"/>
      </w:pPr>
    </w:lvl>
    <w:lvl w:ilvl="3" w:tplc="CF023AD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B24F24"/>
    <w:multiLevelType w:val="hybridMultilevel"/>
    <w:tmpl w:val="BFF6FB1A"/>
    <w:lvl w:ilvl="0" w:tplc="37005BB2">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0F3147"/>
    <w:multiLevelType w:val="hybridMultilevel"/>
    <w:tmpl w:val="78025A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C82897"/>
    <w:multiLevelType w:val="hybridMultilevel"/>
    <w:tmpl w:val="B07C309A"/>
    <w:lvl w:ilvl="0" w:tplc="80E09F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E3C45"/>
    <w:multiLevelType w:val="hybridMultilevel"/>
    <w:tmpl w:val="CB90F320"/>
    <w:lvl w:ilvl="0" w:tplc="37005BB2">
      <w:start w:val="1"/>
      <w:numFmt w:val="decimal"/>
      <w:lvlText w:val="(%1)"/>
      <w:lvlJc w:val="left"/>
      <w:pPr>
        <w:ind w:left="1500" w:hanging="360"/>
      </w:pPr>
      <w:rPr>
        <w:rFonts w:hint="default"/>
        <w:i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680A1B76"/>
    <w:multiLevelType w:val="hybridMultilevel"/>
    <w:tmpl w:val="2F705C82"/>
    <w:lvl w:ilvl="0" w:tplc="37005BB2">
      <w:start w:val="1"/>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5E5E09"/>
    <w:multiLevelType w:val="hybridMultilevel"/>
    <w:tmpl w:val="1504B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0219E"/>
    <w:multiLevelType w:val="hybridMultilevel"/>
    <w:tmpl w:val="254E86A6"/>
    <w:lvl w:ilvl="0" w:tplc="854AF8B6">
      <w:start w:val="1"/>
      <w:numFmt w:val="decimal"/>
      <w:suff w:val="nothing"/>
      <w:lvlText w:val="(%1)"/>
      <w:lvlJc w:val="left"/>
      <w:pPr>
        <w:ind w:left="1080" w:hanging="360"/>
      </w:pPr>
      <w:rPr>
        <w:rFonts w:hint="default"/>
        <w:i w:val="0"/>
        <w:color w:val="auto"/>
      </w:rPr>
    </w:lvl>
    <w:lvl w:ilvl="1" w:tplc="0409000F">
      <w:start w:val="1"/>
      <w:numFmt w:val="decimal"/>
      <w:lvlText w:val="%2."/>
      <w:lvlJc w:val="left"/>
      <w:pPr>
        <w:ind w:left="1800" w:hanging="360"/>
      </w:pPr>
      <w:rPr>
        <w:rFonts w:hint="default"/>
        <w:i w:val="0"/>
      </w:rPr>
    </w:lvl>
    <w:lvl w:ilvl="2" w:tplc="B26A1276">
      <w:start w:val="1"/>
      <w:numFmt w:val="decimal"/>
      <w:suff w:val="space"/>
      <w:lvlText w:val="%3."/>
      <w:lvlJc w:val="left"/>
      <w:pPr>
        <w:ind w:left="2347" w:hanging="7"/>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5908A8"/>
    <w:multiLevelType w:val="hybridMultilevel"/>
    <w:tmpl w:val="B112B1A0"/>
    <w:lvl w:ilvl="0" w:tplc="3FAE6C6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37A91"/>
    <w:multiLevelType w:val="hybridMultilevel"/>
    <w:tmpl w:val="D29071F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DA3E20"/>
    <w:multiLevelType w:val="hybridMultilevel"/>
    <w:tmpl w:val="3B8E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8D7C35"/>
    <w:multiLevelType w:val="hybridMultilevel"/>
    <w:tmpl w:val="9E6AF772"/>
    <w:lvl w:ilvl="0" w:tplc="3FA87310">
      <w:start w:val="20"/>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055794">
    <w:abstractNumId w:val="6"/>
  </w:num>
  <w:num w:numId="2" w16cid:durableId="772357287">
    <w:abstractNumId w:val="8"/>
  </w:num>
  <w:num w:numId="3" w16cid:durableId="493421228">
    <w:abstractNumId w:val="5"/>
  </w:num>
  <w:num w:numId="4" w16cid:durableId="1722945673">
    <w:abstractNumId w:val="25"/>
  </w:num>
  <w:num w:numId="5" w16cid:durableId="221716980">
    <w:abstractNumId w:val="22"/>
  </w:num>
  <w:num w:numId="6" w16cid:durableId="1233933785">
    <w:abstractNumId w:val="2"/>
  </w:num>
  <w:num w:numId="7" w16cid:durableId="1051267783">
    <w:abstractNumId w:val="7"/>
  </w:num>
  <w:num w:numId="8" w16cid:durableId="1894344189">
    <w:abstractNumId w:val="1"/>
  </w:num>
  <w:num w:numId="9" w16cid:durableId="373777344">
    <w:abstractNumId w:val="17"/>
  </w:num>
  <w:num w:numId="10" w16cid:durableId="1614021345">
    <w:abstractNumId w:val="20"/>
  </w:num>
  <w:num w:numId="11" w16cid:durableId="621301623">
    <w:abstractNumId w:val="24"/>
  </w:num>
  <w:num w:numId="12" w16cid:durableId="352078859">
    <w:abstractNumId w:val="19"/>
  </w:num>
  <w:num w:numId="13" w16cid:durableId="1326325461">
    <w:abstractNumId w:val="23"/>
  </w:num>
  <w:num w:numId="14" w16cid:durableId="812913740">
    <w:abstractNumId w:val="14"/>
  </w:num>
  <w:num w:numId="15" w16cid:durableId="16740213">
    <w:abstractNumId w:val="18"/>
  </w:num>
  <w:num w:numId="16" w16cid:durableId="1902129855">
    <w:abstractNumId w:val="10"/>
  </w:num>
  <w:num w:numId="17" w16cid:durableId="1059085560">
    <w:abstractNumId w:val="12"/>
  </w:num>
  <w:num w:numId="18" w16cid:durableId="1753971875">
    <w:abstractNumId w:val="13"/>
  </w:num>
  <w:num w:numId="19" w16cid:durableId="1938976166">
    <w:abstractNumId w:val="15"/>
  </w:num>
  <w:num w:numId="20" w16cid:durableId="1525829336">
    <w:abstractNumId w:val="0"/>
  </w:num>
  <w:num w:numId="21" w16cid:durableId="1744721462">
    <w:abstractNumId w:val="4"/>
  </w:num>
  <w:num w:numId="22" w16cid:durableId="1438450056">
    <w:abstractNumId w:val="11"/>
  </w:num>
  <w:num w:numId="23" w16cid:durableId="718893431">
    <w:abstractNumId w:val="9"/>
  </w:num>
  <w:num w:numId="24" w16cid:durableId="250510996">
    <w:abstractNumId w:val="3"/>
  </w:num>
  <w:num w:numId="25" w16cid:durableId="2077581349">
    <w:abstractNumId w:val="16"/>
  </w:num>
  <w:num w:numId="26" w16cid:durableId="1494222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220"/>
    <w:rsid w:val="00000298"/>
    <w:rsid w:val="00000E05"/>
    <w:rsid w:val="00001353"/>
    <w:rsid w:val="000034E3"/>
    <w:rsid w:val="00003617"/>
    <w:rsid w:val="00006B8A"/>
    <w:rsid w:val="00012E84"/>
    <w:rsid w:val="00013BCF"/>
    <w:rsid w:val="000172D5"/>
    <w:rsid w:val="00022BC6"/>
    <w:rsid w:val="00034694"/>
    <w:rsid w:val="00035974"/>
    <w:rsid w:val="0004334F"/>
    <w:rsid w:val="00044394"/>
    <w:rsid w:val="000513F1"/>
    <w:rsid w:val="00052BF4"/>
    <w:rsid w:val="00054ECF"/>
    <w:rsid w:val="00064A02"/>
    <w:rsid w:val="00066D54"/>
    <w:rsid w:val="000712A5"/>
    <w:rsid w:val="00080AF7"/>
    <w:rsid w:val="000814F4"/>
    <w:rsid w:val="00082DDC"/>
    <w:rsid w:val="000843E3"/>
    <w:rsid w:val="00085FC6"/>
    <w:rsid w:val="00086D43"/>
    <w:rsid w:val="00094298"/>
    <w:rsid w:val="00094DD9"/>
    <w:rsid w:val="00097623"/>
    <w:rsid w:val="000B0669"/>
    <w:rsid w:val="000B18EB"/>
    <w:rsid w:val="000B6929"/>
    <w:rsid w:val="000B6A2A"/>
    <w:rsid w:val="000B7B66"/>
    <w:rsid w:val="000C09D7"/>
    <w:rsid w:val="000C3797"/>
    <w:rsid w:val="000C5F23"/>
    <w:rsid w:val="000D5CD5"/>
    <w:rsid w:val="000E4551"/>
    <w:rsid w:val="0011041C"/>
    <w:rsid w:val="00111A6A"/>
    <w:rsid w:val="001152DF"/>
    <w:rsid w:val="00116BF9"/>
    <w:rsid w:val="00117FD9"/>
    <w:rsid w:val="00120358"/>
    <w:rsid w:val="00121664"/>
    <w:rsid w:val="0012427F"/>
    <w:rsid w:val="001244FC"/>
    <w:rsid w:val="00126F79"/>
    <w:rsid w:val="00131F92"/>
    <w:rsid w:val="0013240A"/>
    <w:rsid w:val="001329F5"/>
    <w:rsid w:val="00133F06"/>
    <w:rsid w:val="00140CF6"/>
    <w:rsid w:val="00143598"/>
    <w:rsid w:val="001458B6"/>
    <w:rsid w:val="0014740D"/>
    <w:rsid w:val="00152C84"/>
    <w:rsid w:val="001553EB"/>
    <w:rsid w:val="001639BD"/>
    <w:rsid w:val="0016478D"/>
    <w:rsid w:val="001725CF"/>
    <w:rsid w:val="001752C5"/>
    <w:rsid w:val="00185420"/>
    <w:rsid w:val="00187BA8"/>
    <w:rsid w:val="001925E7"/>
    <w:rsid w:val="00194A1C"/>
    <w:rsid w:val="00196D34"/>
    <w:rsid w:val="00197A86"/>
    <w:rsid w:val="001A3882"/>
    <w:rsid w:val="001A4E65"/>
    <w:rsid w:val="001A56F3"/>
    <w:rsid w:val="001A7C6E"/>
    <w:rsid w:val="001B7FF4"/>
    <w:rsid w:val="001D04D5"/>
    <w:rsid w:val="001D7182"/>
    <w:rsid w:val="001E05D6"/>
    <w:rsid w:val="001E14D4"/>
    <w:rsid w:val="001F789B"/>
    <w:rsid w:val="001F7E64"/>
    <w:rsid w:val="00201CAA"/>
    <w:rsid w:val="00203CF5"/>
    <w:rsid w:val="002053EA"/>
    <w:rsid w:val="00206D6A"/>
    <w:rsid w:val="002204B6"/>
    <w:rsid w:val="00232EB6"/>
    <w:rsid w:val="00234D5A"/>
    <w:rsid w:val="002471EE"/>
    <w:rsid w:val="00256031"/>
    <w:rsid w:val="00260C07"/>
    <w:rsid w:val="0026142C"/>
    <w:rsid w:val="0027462B"/>
    <w:rsid w:val="002762FB"/>
    <w:rsid w:val="00276ADF"/>
    <w:rsid w:val="00290D2D"/>
    <w:rsid w:val="00293CE3"/>
    <w:rsid w:val="002A203A"/>
    <w:rsid w:val="002A214B"/>
    <w:rsid w:val="002A5286"/>
    <w:rsid w:val="002B0F87"/>
    <w:rsid w:val="002C183C"/>
    <w:rsid w:val="002C7F1D"/>
    <w:rsid w:val="002D349D"/>
    <w:rsid w:val="002E301C"/>
    <w:rsid w:val="002E32D3"/>
    <w:rsid w:val="002E6FE4"/>
    <w:rsid w:val="002E7B32"/>
    <w:rsid w:val="002F0058"/>
    <w:rsid w:val="002F0DA7"/>
    <w:rsid w:val="002F594B"/>
    <w:rsid w:val="002F624C"/>
    <w:rsid w:val="00305F06"/>
    <w:rsid w:val="00327C4C"/>
    <w:rsid w:val="00330F6F"/>
    <w:rsid w:val="00335BD4"/>
    <w:rsid w:val="00337067"/>
    <w:rsid w:val="003407B4"/>
    <w:rsid w:val="00345A60"/>
    <w:rsid w:val="0035318B"/>
    <w:rsid w:val="00356C7F"/>
    <w:rsid w:val="00374BFC"/>
    <w:rsid w:val="003810FB"/>
    <w:rsid w:val="003837EF"/>
    <w:rsid w:val="003847B0"/>
    <w:rsid w:val="00394A29"/>
    <w:rsid w:val="0039539A"/>
    <w:rsid w:val="003A0BC0"/>
    <w:rsid w:val="003A5C61"/>
    <w:rsid w:val="003A6362"/>
    <w:rsid w:val="003B075F"/>
    <w:rsid w:val="003D0B33"/>
    <w:rsid w:val="003E5A0D"/>
    <w:rsid w:val="003F1FBF"/>
    <w:rsid w:val="003F2CD5"/>
    <w:rsid w:val="00400731"/>
    <w:rsid w:val="00412C80"/>
    <w:rsid w:val="00414279"/>
    <w:rsid w:val="00415A72"/>
    <w:rsid w:val="00415C72"/>
    <w:rsid w:val="00417E37"/>
    <w:rsid w:val="00421353"/>
    <w:rsid w:val="00423DD9"/>
    <w:rsid w:val="0042573B"/>
    <w:rsid w:val="0042673A"/>
    <w:rsid w:val="0043601D"/>
    <w:rsid w:val="004407D3"/>
    <w:rsid w:val="004419CE"/>
    <w:rsid w:val="00450D5B"/>
    <w:rsid w:val="0045104D"/>
    <w:rsid w:val="004539CB"/>
    <w:rsid w:val="00453DC1"/>
    <w:rsid w:val="004579B2"/>
    <w:rsid w:val="00464E13"/>
    <w:rsid w:val="00465FA7"/>
    <w:rsid w:val="00476341"/>
    <w:rsid w:val="00483B31"/>
    <w:rsid w:val="004856EC"/>
    <w:rsid w:val="00495E81"/>
    <w:rsid w:val="004A32A3"/>
    <w:rsid w:val="004A40EE"/>
    <w:rsid w:val="004A7C65"/>
    <w:rsid w:val="004A7F5E"/>
    <w:rsid w:val="004D5E3F"/>
    <w:rsid w:val="004E05A6"/>
    <w:rsid w:val="004E4D3C"/>
    <w:rsid w:val="004E72C9"/>
    <w:rsid w:val="004E7996"/>
    <w:rsid w:val="004F6F4D"/>
    <w:rsid w:val="005051D2"/>
    <w:rsid w:val="00513D6C"/>
    <w:rsid w:val="00515AA7"/>
    <w:rsid w:val="00515EE5"/>
    <w:rsid w:val="005215D9"/>
    <w:rsid w:val="00522584"/>
    <w:rsid w:val="0052625B"/>
    <w:rsid w:val="00530832"/>
    <w:rsid w:val="00536599"/>
    <w:rsid w:val="00537E37"/>
    <w:rsid w:val="00537EC6"/>
    <w:rsid w:val="0055524B"/>
    <w:rsid w:val="00560464"/>
    <w:rsid w:val="00567978"/>
    <w:rsid w:val="00580B06"/>
    <w:rsid w:val="005847C6"/>
    <w:rsid w:val="0058692C"/>
    <w:rsid w:val="00594189"/>
    <w:rsid w:val="00595887"/>
    <w:rsid w:val="005B2A94"/>
    <w:rsid w:val="005B51AA"/>
    <w:rsid w:val="005C00BF"/>
    <w:rsid w:val="005C305A"/>
    <w:rsid w:val="005D71CF"/>
    <w:rsid w:val="005D7DB1"/>
    <w:rsid w:val="005E7043"/>
    <w:rsid w:val="005F1C15"/>
    <w:rsid w:val="005F230A"/>
    <w:rsid w:val="005F6108"/>
    <w:rsid w:val="00601CDF"/>
    <w:rsid w:val="00601E48"/>
    <w:rsid w:val="006025AA"/>
    <w:rsid w:val="00606FEB"/>
    <w:rsid w:val="0060793D"/>
    <w:rsid w:val="00613C58"/>
    <w:rsid w:val="00615C24"/>
    <w:rsid w:val="00621366"/>
    <w:rsid w:val="00621E8D"/>
    <w:rsid w:val="00623D25"/>
    <w:rsid w:val="00626525"/>
    <w:rsid w:val="00627344"/>
    <w:rsid w:val="00631306"/>
    <w:rsid w:val="00637225"/>
    <w:rsid w:val="0064062A"/>
    <w:rsid w:val="00656656"/>
    <w:rsid w:val="00675420"/>
    <w:rsid w:val="00680C3E"/>
    <w:rsid w:val="00685763"/>
    <w:rsid w:val="00685FDE"/>
    <w:rsid w:val="006949FA"/>
    <w:rsid w:val="006A0C05"/>
    <w:rsid w:val="006B6BD0"/>
    <w:rsid w:val="006D11CB"/>
    <w:rsid w:val="006D16F7"/>
    <w:rsid w:val="006D4DF5"/>
    <w:rsid w:val="006E14F3"/>
    <w:rsid w:val="006E6678"/>
    <w:rsid w:val="007078B0"/>
    <w:rsid w:val="00712497"/>
    <w:rsid w:val="00714025"/>
    <w:rsid w:val="00715488"/>
    <w:rsid w:val="00717733"/>
    <w:rsid w:val="007226C7"/>
    <w:rsid w:val="007228F2"/>
    <w:rsid w:val="007240EF"/>
    <w:rsid w:val="00732E4B"/>
    <w:rsid w:val="00733E42"/>
    <w:rsid w:val="00735710"/>
    <w:rsid w:val="00743F8B"/>
    <w:rsid w:val="00760892"/>
    <w:rsid w:val="00763A98"/>
    <w:rsid w:val="007658E1"/>
    <w:rsid w:val="00774BDF"/>
    <w:rsid w:val="0078123B"/>
    <w:rsid w:val="00784A60"/>
    <w:rsid w:val="00786EF2"/>
    <w:rsid w:val="00791D9C"/>
    <w:rsid w:val="00796331"/>
    <w:rsid w:val="007A1AD0"/>
    <w:rsid w:val="007A5BBD"/>
    <w:rsid w:val="007B53AF"/>
    <w:rsid w:val="007D77D7"/>
    <w:rsid w:val="007E1AA7"/>
    <w:rsid w:val="007E3120"/>
    <w:rsid w:val="007E42B4"/>
    <w:rsid w:val="007E6A4D"/>
    <w:rsid w:val="007F495D"/>
    <w:rsid w:val="007F6FAD"/>
    <w:rsid w:val="0080274B"/>
    <w:rsid w:val="0081020B"/>
    <w:rsid w:val="00813D39"/>
    <w:rsid w:val="0081682B"/>
    <w:rsid w:val="00816A7A"/>
    <w:rsid w:val="00823E6E"/>
    <w:rsid w:val="008334D1"/>
    <w:rsid w:val="008476DC"/>
    <w:rsid w:val="008479B5"/>
    <w:rsid w:val="00850BDB"/>
    <w:rsid w:val="008561C9"/>
    <w:rsid w:val="00862A9B"/>
    <w:rsid w:val="00865041"/>
    <w:rsid w:val="00883AA2"/>
    <w:rsid w:val="00886ED6"/>
    <w:rsid w:val="008903F0"/>
    <w:rsid w:val="008944F5"/>
    <w:rsid w:val="00895CC3"/>
    <w:rsid w:val="00896FD9"/>
    <w:rsid w:val="008A012A"/>
    <w:rsid w:val="008A2233"/>
    <w:rsid w:val="008A69F3"/>
    <w:rsid w:val="008B162F"/>
    <w:rsid w:val="008B2FA9"/>
    <w:rsid w:val="008B6286"/>
    <w:rsid w:val="008B713E"/>
    <w:rsid w:val="008D2485"/>
    <w:rsid w:val="008E085D"/>
    <w:rsid w:val="008E0FBD"/>
    <w:rsid w:val="008E188C"/>
    <w:rsid w:val="0090086F"/>
    <w:rsid w:val="009032A2"/>
    <w:rsid w:val="00905019"/>
    <w:rsid w:val="00911227"/>
    <w:rsid w:val="009133E9"/>
    <w:rsid w:val="00913F39"/>
    <w:rsid w:val="00915593"/>
    <w:rsid w:val="009157DB"/>
    <w:rsid w:val="00915F46"/>
    <w:rsid w:val="0091635F"/>
    <w:rsid w:val="00925EE6"/>
    <w:rsid w:val="009326F2"/>
    <w:rsid w:val="00934154"/>
    <w:rsid w:val="00934389"/>
    <w:rsid w:val="00934B22"/>
    <w:rsid w:val="0095262E"/>
    <w:rsid w:val="009534C1"/>
    <w:rsid w:val="009557E5"/>
    <w:rsid w:val="00961E4C"/>
    <w:rsid w:val="00963855"/>
    <w:rsid w:val="00966B33"/>
    <w:rsid w:val="00970407"/>
    <w:rsid w:val="00983E43"/>
    <w:rsid w:val="009866C7"/>
    <w:rsid w:val="009922A4"/>
    <w:rsid w:val="009A0A5D"/>
    <w:rsid w:val="009A0E1E"/>
    <w:rsid w:val="009A1312"/>
    <w:rsid w:val="009A1BD7"/>
    <w:rsid w:val="009A1F46"/>
    <w:rsid w:val="009B1551"/>
    <w:rsid w:val="009B6CF8"/>
    <w:rsid w:val="009C01BC"/>
    <w:rsid w:val="009C0C46"/>
    <w:rsid w:val="009C4AA6"/>
    <w:rsid w:val="009D77BE"/>
    <w:rsid w:val="009F0C88"/>
    <w:rsid w:val="009F3FDC"/>
    <w:rsid w:val="00A055B5"/>
    <w:rsid w:val="00A07E85"/>
    <w:rsid w:val="00A1662F"/>
    <w:rsid w:val="00A16D04"/>
    <w:rsid w:val="00A2286F"/>
    <w:rsid w:val="00A25CAD"/>
    <w:rsid w:val="00A30D95"/>
    <w:rsid w:val="00A34746"/>
    <w:rsid w:val="00A40AEE"/>
    <w:rsid w:val="00A46912"/>
    <w:rsid w:val="00A548FD"/>
    <w:rsid w:val="00A635A6"/>
    <w:rsid w:val="00A6485D"/>
    <w:rsid w:val="00A7537D"/>
    <w:rsid w:val="00A75F8A"/>
    <w:rsid w:val="00AA3672"/>
    <w:rsid w:val="00AB2B58"/>
    <w:rsid w:val="00AB45E2"/>
    <w:rsid w:val="00AB6D45"/>
    <w:rsid w:val="00AC47D9"/>
    <w:rsid w:val="00AC7C87"/>
    <w:rsid w:val="00AE12BE"/>
    <w:rsid w:val="00AE56D0"/>
    <w:rsid w:val="00AF175A"/>
    <w:rsid w:val="00B20B22"/>
    <w:rsid w:val="00B27D81"/>
    <w:rsid w:val="00B300A3"/>
    <w:rsid w:val="00B338D0"/>
    <w:rsid w:val="00B36B79"/>
    <w:rsid w:val="00B37851"/>
    <w:rsid w:val="00B470BA"/>
    <w:rsid w:val="00B544DB"/>
    <w:rsid w:val="00B60212"/>
    <w:rsid w:val="00B64632"/>
    <w:rsid w:val="00B72A0D"/>
    <w:rsid w:val="00B72FA1"/>
    <w:rsid w:val="00B73625"/>
    <w:rsid w:val="00B81394"/>
    <w:rsid w:val="00B81FEE"/>
    <w:rsid w:val="00B84579"/>
    <w:rsid w:val="00B91B8D"/>
    <w:rsid w:val="00B95D48"/>
    <w:rsid w:val="00BA349A"/>
    <w:rsid w:val="00BA495B"/>
    <w:rsid w:val="00BA4CED"/>
    <w:rsid w:val="00BB0940"/>
    <w:rsid w:val="00BB24A8"/>
    <w:rsid w:val="00BB4436"/>
    <w:rsid w:val="00BC738D"/>
    <w:rsid w:val="00BD7D05"/>
    <w:rsid w:val="00BE1238"/>
    <w:rsid w:val="00BE467D"/>
    <w:rsid w:val="00BE6F64"/>
    <w:rsid w:val="00BF3362"/>
    <w:rsid w:val="00C00282"/>
    <w:rsid w:val="00C04AD3"/>
    <w:rsid w:val="00C12615"/>
    <w:rsid w:val="00C13E54"/>
    <w:rsid w:val="00C157E7"/>
    <w:rsid w:val="00C413E4"/>
    <w:rsid w:val="00C545D4"/>
    <w:rsid w:val="00C57AEE"/>
    <w:rsid w:val="00C61B01"/>
    <w:rsid w:val="00C61B1C"/>
    <w:rsid w:val="00C667DF"/>
    <w:rsid w:val="00C72B40"/>
    <w:rsid w:val="00C757E2"/>
    <w:rsid w:val="00C775DB"/>
    <w:rsid w:val="00C82ABE"/>
    <w:rsid w:val="00C92338"/>
    <w:rsid w:val="00C94C7B"/>
    <w:rsid w:val="00C965F7"/>
    <w:rsid w:val="00CB3018"/>
    <w:rsid w:val="00CB3AC6"/>
    <w:rsid w:val="00CB5D8D"/>
    <w:rsid w:val="00CB7BD6"/>
    <w:rsid w:val="00CC6E02"/>
    <w:rsid w:val="00CC7F6E"/>
    <w:rsid w:val="00CE4A2C"/>
    <w:rsid w:val="00CF5AF2"/>
    <w:rsid w:val="00D15A8F"/>
    <w:rsid w:val="00D211DF"/>
    <w:rsid w:val="00D22DE6"/>
    <w:rsid w:val="00D26825"/>
    <w:rsid w:val="00D31416"/>
    <w:rsid w:val="00D31FE0"/>
    <w:rsid w:val="00D33B46"/>
    <w:rsid w:val="00D366C8"/>
    <w:rsid w:val="00D373F7"/>
    <w:rsid w:val="00D51DCC"/>
    <w:rsid w:val="00D54312"/>
    <w:rsid w:val="00D54978"/>
    <w:rsid w:val="00D57AEE"/>
    <w:rsid w:val="00D63337"/>
    <w:rsid w:val="00D655FF"/>
    <w:rsid w:val="00D67265"/>
    <w:rsid w:val="00D742A8"/>
    <w:rsid w:val="00D76220"/>
    <w:rsid w:val="00D811F4"/>
    <w:rsid w:val="00D92526"/>
    <w:rsid w:val="00D934C5"/>
    <w:rsid w:val="00DA1A1E"/>
    <w:rsid w:val="00DA1CE6"/>
    <w:rsid w:val="00DA2451"/>
    <w:rsid w:val="00DB5DF3"/>
    <w:rsid w:val="00DC413D"/>
    <w:rsid w:val="00DD2F60"/>
    <w:rsid w:val="00DE52F5"/>
    <w:rsid w:val="00E006C0"/>
    <w:rsid w:val="00E03375"/>
    <w:rsid w:val="00E05EB3"/>
    <w:rsid w:val="00E06C7C"/>
    <w:rsid w:val="00E16DC1"/>
    <w:rsid w:val="00E25EB1"/>
    <w:rsid w:val="00E2693F"/>
    <w:rsid w:val="00E26B55"/>
    <w:rsid w:val="00E30817"/>
    <w:rsid w:val="00E30AA5"/>
    <w:rsid w:val="00E31622"/>
    <w:rsid w:val="00E338AE"/>
    <w:rsid w:val="00E418F0"/>
    <w:rsid w:val="00E47EF2"/>
    <w:rsid w:val="00E55E9C"/>
    <w:rsid w:val="00E60B65"/>
    <w:rsid w:val="00E63D4B"/>
    <w:rsid w:val="00E67AF9"/>
    <w:rsid w:val="00E702E5"/>
    <w:rsid w:val="00E77DFF"/>
    <w:rsid w:val="00E861BF"/>
    <w:rsid w:val="00E91AAD"/>
    <w:rsid w:val="00E93E58"/>
    <w:rsid w:val="00E96220"/>
    <w:rsid w:val="00EA0298"/>
    <w:rsid w:val="00EA134E"/>
    <w:rsid w:val="00EA5C3D"/>
    <w:rsid w:val="00EA62EE"/>
    <w:rsid w:val="00EA6BBD"/>
    <w:rsid w:val="00EA7CC4"/>
    <w:rsid w:val="00EC0DAD"/>
    <w:rsid w:val="00EC253F"/>
    <w:rsid w:val="00EC423F"/>
    <w:rsid w:val="00ED5E35"/>
    <w:rsid w:val="00EE0152"/>
    <w:rsid w:val="00EE1BF7"/>
    <w:rsid w:val="00EE2B02"/>
    <w:rsid w:val="00EE2D24"/>
    <w:rsid w:val="00EE4DF3"/>
    <w:rsid w:val="00EE73D3"/>
    <w:rsid w:val="00EE7859"/>
    <w:rsid w:val="00EF1C63"/>
    <w:rsid w:val="00EF557E"/>
    <w:rsid w:val="00F044F4"/>
    <w:rsid w:val="00F10649"/>
    <w:rsid w:val="00F227A5"/>
    <w:rsid w:val="00F304C9"/>
    <w:rsid w:val="00F33908"/>
    <w:rsid w:val="00F33BF6"/>
    <w:rsid w:val="00F44FF0"/>
    <w:rsid w:val="00F46F57"/>
    <w:rsid w:val="00F523DF"/>
    <w:rsid w:val="00F54CBC"/>
    <w:rsid w:val="00F574CC"/>
    <w:rsid w:val="00F614D1"/>
    <w:rsid w:val="00F73A23"/>
    <w:rsid w:val="00F74049"/>
    <w:rsid w:val="00F8538E"/>
    <w:rsid w:val="00F85E57"/>
    <w:rsid w:val="00F906AB"/>
    <w:rsid w:val="00FA03A5"/>
    <w:rsid w:val="00FA08E8"/>
    <w:rsid w:val="00FA1434"/>
    <w:rsid w:val="00FA53F3"/>
    <w:rsid w:val="00FB15B8"/>
    <w:rsid w:val="00FC159F"/>
    <w:rsid w:val="00FC30E7"/>
    <w:rsid w:val="00FC5D20"/>
    <w:rsid w:val="00FC6191"/>
    <w:rsid w:val="00FD0146"/>
    <w:rsid w:val="00FD15E7"/>
    <w:rsid w:val="00FD1911"/>
    <w:rsid w:val="00FD28E4"/>
    <w:rsid w:val="00FD5EBA"/>
    <w:rsid w:val="00FD6A02"/>
    <w:rsid w:val="00FE2FCC"/>
    <w:rsid w:val="00FE3F3B"/>
    <w:rsid w:val="00FE4CA0"/>
    <w:rsid w:val="00FF0E39"/>
    <w:rsid w:val="00FF6CF5"/>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FDB66B"/>
  <w15:docId w15:val="{952EE4AA-647E-4EB5-A4C2-1FC438E4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E4"/>
    <w:pPr>
      <w:spacing w:after="200" w:line="276" w:lineRule="auto"/>
    </w:pPr>
    <w:rPr>
      <w:sz w:val="22"/>
      <w:szCs w:val="22"/>
    </w:rPr>
  </w:style>
  <w:style w:type="paragraph" w:styleId="Heading1">
    <w:name w:val="heading 1"/>
    <w:basedOn w:val="Normal"/>
    <w:next w:val="Normal"/>
    <w:link w:val="Heading1Char"/>
    <w:uiPriority w:val="9"/>
    <w:qFormat/>
    <w:rsid w:val="00F73A2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622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D76220"/>
    <w:pPr>
      <w:tabs>
        <w:tab w:val="center" w:pos="4680"/>
        <w:tab w:val="right" w:pos="9360"/>
      </w:tabs>
    </w:pPr>
  </w:style>
  <w:style w:type="character" w:customStyle="1" w:styleId="HeaderChar">
    <w:name w:val="Header Char"/>
    <w:link w:val="Header"/>
    <w:uiPriority w:val="99"/>
    <w:rsid w:val="00D76220"/>
    <w:rPr>
      <w:sz w:val="22"/>
      <w:szCs w:val="22"/>
    </w:rPr>
  </w:style>
  <w:style w:type="paragraph" w:styleId="Footer">
    <w:name w:val="footer"/>
    <w:basedOn w:val="Normal"/>
    <w:link w:val="FooterChar"/>
    <w:uiPriority w:val="99"/>
    <w:unhideWhenUsed/>
    <w:rsid w:val="00D76220"/>
    <w:pPr>
      <w:tabs>
        <w:tab w:val="center" w:pos="4680"/>
        <w:tab w:val="right" w:pos="9360"/>
      </w:tabs>
    </w:pPr>
  </w:style>
  <w:style w:type="character" w:customStyle="1" w:styleId="FooterChar">
    <w:name w:val="Footer Char"/>
    <w:link w:val="Footer"/>
    <w:uiPriority w:val="99"/>
    <w:rsid w:val="00D76220"/>
    <w:rPr>
      <w:sz w:val="22"/>
      <w:szCs w:val="22"/>
    </w:rPr>
  </w:style>
  <w:style w:type="character" w:styleId="Strong">
    <w:name w:val="Strong"/>
    <w:uiPriority w:val="22"/>
    <w:qFormat/>
    <w:rsid w:val="00627344"/>
    <w:rPr>
      <w:b/>
      <w:bCs/>
    </w:rPr>
  </w:style>
  <w:style w:type="character" w:styleId="CommentReference">
    <w:name w:val="annotation reference"/>
    <w:uiPriority w:val="99"/>
    <w:semiHidden/>
    <w:unhideWhenUsed/>
    <w:rsid w:val="00F85E57"/>
    <w:rPr>
      <w:sz w:val="16"/>
      <w:szCs w:val="16"/>
    </w:rPr>
  </w:style>
  <w:style w:type="paragraph" w:styleId="CommentText">
    <w:name w:val="annotation text"/>
    <w:basedOn w:val="Normal"/>
    <w:link w:val="CommentTextChar"/>
    <w:uiPriority w:val="99"/>
    <w:semiHidden/>
    <w:unhideWhenUsed/>
    <w:rsid w:val="00F85E57"/>
    <w:rPr>
      <w:sz w:val="20"/>
      <w:szCs w:val="20"/>
    </w:rPr>
  </w:style>
  <w:style w:type="character" w:customStyle="1" w:styleId="CommentTextChar">
    <w:name w:val="Comment Text Char"/>
    <w:basedOn w:val="DefaultParagraphFont"/>
    <w:link w:val="CommentText"/>
    <w:uiPriority w:val="99"/>
    <w:semiHidden/>
    <w:rsid w:val="00F85E57"/>
  </w:style>
  <w:style w:type="paragraph" w:styleId="CommentSubject">
    <w:name w:val="annotation subject"/>
    <w:basedOn w:val="CommentText"/>
    <w:next w:val="CommentText"/>
    <w:link w:val="CommentSubjectChar"/>
    <w:uiPriority w:val="99"/>
    <w:semiHidden/>
    <w:unhideWhenUsed/>
    <w:rsid w:val="00F85E57"/>
    <w:rPr>
      <w:b/>
      <w:bCs/>
    </w:rPr>
  </w:style>
  <w:style w:type="character" w:customStyle="1" w:styleId="CommentSubjectChar">
    <w:name w:val="Comment Subject Char"/>
    <w:link w:val="CommentSubject"/>
    <w:uiPriority w:val="99"/>
    <w:semiHidden/>
    <w:rsid w:val="00F85E57"/>
    <w:rPr>
      <w:b/>
      <w:bCs/>
    </w:rPr>
  </w:style>
  <w:style w:type="paragraph" w:styleId="BalloonText">
    <w:name w:val="Balloon Text"/>
    <w:basedOn w:val="Normal"/>
    <w:link w:val="BalloonTextChar"/>
    <w:uiPriority w:val="99"/>
    <w:semiHidden/>
    <w:unhideWhenUsed/>
    <w:rsid w:val="00F85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5E57"/>
    <w:rPr>
      <w:rFonts w:ascii="Tahoma" w:hAnsi="Tahoma" w:cs="Tahoma"/>
      <w:sz w:val="16"/>
      <w:szCs w:val="16"/>
    </w:rPr>
  </w:style>
  <w:style w:type="paragraph" w:styleId="Revision">
    <w:name w:val="Revision"/>
    <w:hidden/>
    <w:uiPriority w:val="99"/>
    <w:semiHidden/>
    <w:rsid w:val="00735710"/>
    <w:rPr>
      <w:sz w:val="22"/>
      <w:szCs w:val="22"/>
    </w:rPr>
  </w:style>
  <w:style w:type="paragraph" w:styleId="ListParagraph">
    <w:name w:val="List Paragraph"/>
    <w:basedOn w:val="Normal"/>
    <w:uiPriority w:val="34"/>
    <w:qFormat/>
    <w:rsid w:val="005B51AA"/>
    <w:pPr>
      <w:ind w:left="720"/>
    </w:pPr>
  </w:style>
  <w:style w:type="character" w:customStyle="1" w:styleId="Heading1Char">
    <w:name w:val="Heading 1 Char"/>
    <w:link w:val="Heading1"/>
    <w:rsid w:val="00F73A23"/>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BB24A8"/>
    <w:rPr>
      <w:color w:val="0000FF" w:themeColor="hyperlink"/>
      <w:u w:val="single"/>
    </w:rPr>
  </w:style>
  <w:style w:type="character" w:styleId="FollowedHyperlink">
    <w:name w:val="FollowedHyperlink"/>
    <w:basedOn w:val="DefaultParagraphFont"/>
    <w:uiPriority w:val="99"/>
    <w:semiHidden/>
    <w:unhideWhenUsed/>
    <w:rsid w:val="001B7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26615">
      <w:bodyDiv w:val="1"/>
      <w:marLeft w:val="0"/>
      <w:marRight w:val="0"/>
      <w:marTop w:val="0"/>
      <w:marBottom w:val="0"/>
      <w:divBdr>
        <w:top w:val="none" w:sz="0" w:space="0" w:color="auto"/>
        <w:left w:val="none" w:sz="0" w:space="0" w:color="auto"/>
        <w:bottom w:val="none" w:sz="0" w:space="0" w:color="auto"/>
        <w:right w:val="none" w:sz="0" w:space="0" w:color="auto"/>
      </w:divBdr>
    </w:div>
    <w:div w:id="630404874">
      <w:bodyDiv w:val="1"/>
      <w:marLeft w:val="0"/>
      <w:marRight w:val="0"/>
      <w:marTop w:val="0"/>
      <w:marBottom w:val="0"/>
      <w:divBdr>
        <w:top w:val="none" w:sz="0" w:space="0" w:color="auto"/>
        <w:left w:val="none" w:sz="0" w:space="0" w:color="auto"/>
        <w:bottom w:val="none" w:sz="0" w:space="0" w:color="auto"/>
        <w:right w:val="none" w:sz="0" w:space="0" w:color="auto"/>
      </w:divBdr>
    </w:div>
    <w:div w:id="738132386">
      <w:bodyDiv w:val="1"/>
      <w:marLeft w:val="0"/>
      <w:marRight w:val="0"/>
      <w:marTop w:val="0"/>
      <w:marBottom w:val="0"/>
      <w:divBdr>
        <w:top w:val="none" w:sz="0" w:space="0" w:color="auto"/>
        <w:left w:val="none" w:sz="0" w:space="0" w:color="auto"/>
        <w:bottom w:val="none" w:sz="0" w:space="0" w:color="auto"/>
        <w:right w:val="none" w:sz="0" w:space="0" w:color="auto"/>
      </w:divBdr>
      <w:divsChild>
        <w:div w:id="1213887755">
          <w:marLeft w:val="0"/>
          <w:marRight w:val="0"/>
          <w:marTop w:val="0"/>
          <w:marBottom w:val="0"/>
          <w:divBdr>
            <w:top w:val="none" w:sz="0" w:space="0" w:color="auto"/>
            <w:left w:val="none" w:sz="0" w:space="0" w:color="auto"/>
            <w:bottom w:val="none" w:sz="0" w:space="0" w:color="auto"/>
            <w:right w:val="none" w:sz="0" w:space="0" w:color="auto"/>
          </w:divBdr>
        </w:div>
        <w:div w:id="1377924382">
          <w:marLeft w:val="0"/>
          <w:marRight w:val="0"/>
          <w:marTop w:val="0"/>
          <w:marBottom w:val="0"/>
          <w:divBdr>
            <w:top w:val="none" w:sz="0" w:space="0" w:color="auto"/>
            <w:left w:val="none" w:sz="0" w:space="0" w:color="auto"/>
            <w:bottom w:val="none" w:sz="0" w:space="0" w:color="auto"/>
            <w:right w:val="none" w:sz="0" w:space="0" w:color="auto"/>
          </w:divBdr>
        </w:div>
        <w:div w:id="990867461">
          <w:marLeft w:val="0"/>
          <w:marRight w:val="0"/>
          <w:marTop w:val="0"/>
          <w:marBottom w:val="0"/>
          <w:divBdr>
            <w:top w:val="none" w:sz="0" w:space="0" w:color="auto"/>
            <w:left w:val="none" w:sz="0" w:space="0" w:color="auto"/>
            <w:bottom w:val="none" w:sz="0" w:space="0" w:color="auto"/>
            <w:right w:val="none" w:sz="0" w:space="0" w:color="auto"/>
          </w:divBdr>
        </w:div>
        <w:div w:id="712536480">
          <w:marLeft w:val="0"/>
          <w:marRight w:val="0"/>
          <w:marTop w:val="0"/>
          <w:marBottom w:val="0"/>
          <w:divBdr>
            <w:top w:val="none" w:sz="0" w:space="0" w:color="auto"/>
            <w:left w:val="none" w:sz="0" w:space="0" w:color="auto"/>
            <w:bottom w:val="none" w:sz="0" w:space="0" w:color="auto"/>
            <w:right w:val="none" w:sz="0" w:space="0" w:color="auto"/>
          </w:divBdr>
        </w:div>
        <w:div w:id="774374079">
          <w:marLeft w:val="0"/>
          <w:marRight w:val="0"/>
          <w:marTop w:val="0"/>
          <w:marBottom w:val="0"/>
          <w:divBdr>
            <w:top w:val="none" w:sz="0" w:space="0" w:color="auto"/>
            <w:left w:val="none" w:sz="0" w:space="0" w:color="auto"/>
            <w:bottom w:val="none" w:sz="0" w:space="0" w:color="auto"/>
            <w:right w:val="none" w:sz="0" w:space="0" w:color="auto"/>
          </w:divBdr>
        </w:div>
        <w:div w:id="1508713192">
          <w:marLeft w:val="0"/>
          <w:marRight w:val="0"/>
          <w:marTop w:val="0"/>
          <w:marBottom w:val="0"/>
          <w:divBdr>
            <w:top w:val="none" w:sz="0" w:space="0" w:color="auto"/>
            <w:left w:val="none" w:sz="0" w:space="0" w:color="auto"/>
            <w:bottom w:val="none" w:sz="0" w:space="0" w:color="auto"/>
            <w:right w:val="none" w:sz="0" w:space="0" w:color="auto"/>
          </w:divBdr>
        </w:div>
        <w:div w:id="938949222">
          <w:marLeft w:val="0"/>
          <w:marRight w:val="0"/>
          <w:marTop w:val="0"/>
          <w:marBottom w:val="0"/>
          <w:divBdr>
            <w:top w:val="none" w:sz="0" w:space="0" w:color="auto"/>
            <w:left w:val="none" w:sz="0" w:space="0" w:color="auto"/>
            <w:bottom w:val="none" w:sz="0" w:space="0" w:color="auto"/>
            <w:right w:val="none" w:sz="0" w:space="0" w:color="auto"/>
          </w:divBdr>
        </w:div>
        <w:div w:id="1816559466">
          <w:marLeft w:val="0"/>
          <w:marRight w:val="0"/>
          <w:marTop w:val="0"/>
          <w:marBottom w:val="0"/>
          <w:divBdr>
            <w:top w:val="none" w:sz="0" w:space="0" w:color="auto"/>
            <w:left w:val="none" w:sz="0" w:space="0" w:color="auto"/>
            <w:bottom w:val="none" w:sz="0" w:space="0" w:color="auto"/>
            <w:right w:val="none" w:sz="0" w:space="0" w:color="auto"/>
          </w:divBdr>
        </w:div>
        <w:div w:id="714501993">
          <w:marLeft w:val="0"/>
          <w:marRight w:val="0"/>
          <w:marTop w:val="0"/>
          <w:marBottom w:val="0"/>
          <w:divBdr>
            <w:top w:val="none" w:sz="0" w:space="0" w:color="auto"/>
            <w:left w:val="none" w:sz="0" w:space="0" w:color="auto"/>
            <w:bottom w:val="none" w:sz="0" w:space="0" w:color="auto"/>
            <w:right w:val="none" w:sz="0" w:space="0" w:color="auto"/>
          </w:divBdr>
        </w:div>
        <w:div w:id="649596082">
          <w:marLeft w:val="0"/>
          <w:marRight w:val="0"/>
          <w:marTop w:val="0"/>
          <w:marBottom w:val="0"/>
          <w:divBdr>
            <w:top w:val="none" w:sz="0" w:space="0" w:color="auto"/>
            <w:left w:val="none" w:sz="0" w:space="0" w:color="auto"/>
            <w:bottom w:val="none" w:sz="0" w:space="0" w:color="auto"/>
            <w:right w:val="none" w:sz="0" w:space="0" w:color="auto"/>
          </w:divBdr>
        </w:div>
        <w:div w:id="31852471">
          <w:marLeft w:val="0"/>
          <w:marRight w:val="0"/>
          <w:marTop w:val="0"/>
          <w:marBottom w:val="0"/>
          <w:divBdr>
            <w:top w:val="none" w:sz="0" w:space="0" w:color="auto"/>
            <w:left w:val="none" w:sz="0" w:space="0" w:color="auto"/>
            <w:bottom w:val="none" w:sz="0" w:space="0" w:color="auto"/>
            <w:right w:val="none" w:sz="0" w:space="0" w:color="auto"/>
          </w:divBdr>
        </w:div>
        <w:div w:id="1875726346">
          <w:marLeft w:val="0"/>
          <w:marRight w:val="0"/>
          <w:marTop w:val="0"/>
          <w:marBottom w:val="0"/>
          <w:divBdr>
            <w:top w:val="none" w:sz="0" w:space="0" w:color="auto"/>
            <w:left w:val="none" w:sz="0" w:space="0" w:color="auto"/>
            <w:bottom w:val="none" w:sz="0" w:space="0" w:color="auto"/>
            <w:right w:val="none" w:sz="0" w:space="0" w:color="auto"/>
          </w:divBdr>
        </w:div>
      </w:divsChild>
    </w:div>
    <w:div w:id="986590899">
      <w:bodyDiv w:val="1"/>
      <w:marLeft w:val="0"/>
      <w:marRight w:val="0"/>
      <w:marTop w:val="0"/>
      <w:marBottom w:val="0"/>
      <w:divBdr>
        <w:top w:val="none" w:sz="0" w:space="0" w:color="auto"/>
        <w:left w:val="none" w:sz="0" w:space="0" w:color="auto"/>
        <w:bottom w:val="none" w:sz="0" w:space="0" w:color="auto"/>
        <w:right w:val="none" w:sz="0" w:space="0" w:color="auto"/>
      </w:divBdr>
      <w:divsChild>
        <w:div w:id="1423723779">
          <w:marLeft w:val="0"/>
          <w:marRight w:val="0"/>
          <w:marTop w:val="0"/>
          <w:marBottom w:val="0"/>
          <w:divBdr>
            <w:top w:val="none" w:sz="0" w:space="0" w:color="auto"/>
            <w:left w:val="none" w:sz="0" w:space="0" w:color="auto"/>
            <w:bottom w:val="none" w:sz="0" w:space="0" w:color="auto"/>
            <w:right w:val="none" w:sz="0" w:space="0" w:color="auto"/>
          </w:divBdr>
        </w:div>
        <w:div w:id="161893644">
          <w:marLeft w:val="0"/>
          <w:marRight w:val="0"/>
          <w:marTop w:val="0"/>
          <w:marBottom w:val="0"/>
          <w:divBdr>
            <w:top w:val="none" w:sz="0" w:space="0" w:color="auto"/>
            <w:left w:val="none" w:sz="0" w:space="0" w:color="auto"/>
            <w:bottom w:val="none" w:sz="0" w:space="0" w:color="auto"/>
            <w:right w:val="none" w:sz="0" w:space="0" w:color="auto"/>
          </w:divBdr>
        </w:div>
        <w:div w:id="1506704139">
          <w:marLeft w:val="0"/>
          <w:marRight w:val="0"/>
          <w:marTop w:val="0"/>
          <w:marBottom w:val="0"/>
          <w:divBdr>
            <w:top w:val="none" w:sz="0" w:space="0" w:color="auto"/>
            <w:left w:val="none" w:sz="0" w:space="0" w:color="auto"/>
            <w:bottom w:val="none" w:sz="0" w:space="0" w:color="auto"/>
            <w:right w:val="none" w:sz="0" w:space="0" w:color="auto"/>
          </w:divBdr>
        </w:div>
        <w:div w:id="317468318">
          <w:marLeft w:val="0"/>
          <w:marRight w:val="0"/>
          <w:marTop w:val="0"/>
          <w:marBottom w:val="0"/>
          <w:divBdr>
            <w:top w:val="none" w:sz="0" w:space="0" w:color="auto"/>
            <w:left w:val="none" w:sz="0" w:space="0" w:color="auto"/>
            <w:bottom w:val="none" w:sz="0" w:space="0" w:color="auto"/>
            <w:right w:val="none" w:sz="0" w:space="0" w:color="auto"/>
          </w:divBdr>
        </w:div>
        <w:div w:id="186136715">
          <w:marLeft w:val="0"/>
          <w:marRight w:val="0"/>
          <w:marTop w:val="0"/>
          <w:marBottom w:val="0"/>
          <w:divBdr>
            <w:top w:val="none" w:sz="0" w:space="0" w:color="auto"/>
            <w:left w:val="none" w:sz="0" w:space="0" w:color="auto"/>
            <w:bottom w:val="none" w:sz="0" w:space="0" w:color="auto"/>
            <w:right w:val="none" w:sz="0" w:space="0" w:color="auto"/>
          </w:divBdr>
        </w:div>
        <w:div w:id="1477839142">
          <w:marLeft w:val="0"/>
          <w:marRight w:val="0"/>
          <w:marTop w:val="0"/>
          <w:marBottom w:val="0"/>
          <w:divBdr>
            <w:top w:val="none" w:sz="0" w:space="0" w:color="auto"/>
            <w:left w:val="none" w:sz="0" w:space="0" w:color="auto"/>
            <w:bottom w:val="none" w:sz="0" w:space="0" w:color="auto"/>
            <w:right w:val="none" w:sz="0" w:space="0" w:color="auto"/>
          </w:divBdr>
        </w:div>
        <w:div w:id="125394463">
          <w:marLeft w:val="0"/>
          <w:marRight w:val="0"/>
          <w:marTop w:val="0"/>
          <w:marBottom w:val="0"/>
          <w:divBdr>
            <w:top w:val="none" w:sz="0" w:space="0" w:color="auto"/>
            <w:left w:val="none" w:sz="0" w:space="0" w:color="auto"/>
            <w:bottom w:val="none" w:sz="0" w:space="0" w:color="auto"/>
            <w:right w:val="none" w:sz="0" w:space="0" w:color="auto"/>
          </w:divBdr>
        </w:div>
        <w:div w:id="1676884498">
          <w:marLeft w:val="0"/>
          <w:marRight w:val="0"/>
          <w:marTop w:val="0"/>
          <w:marBottom w:val="0"/>
          <w:divBdr>
            <w:top w:val="none" w:sz="0" w:space="0" w:color="auto"/>
            <w:left w:val="none" w:sz="0" w:space="0" w:color="auto"/>
            <w:bottom w:val="none" w:sz="0" w:space="0" w:color="auto"/>
            <w:right w:val="none" w:sz="0" w:space="0" w:color="auto"/>
          </w:divBdr>
        </w:div>
        <w:div w:id="1885019924">
          <w:marLeft w:val="0"/>
          <w:marRight w:val="0"/>
          <w:marTop w:val="0"/>
          <w:marBottom w:val="0"/>
          <w:divBdr>
            <w:top w:val="none" w:sz="0" w:space="0" w:color="auto"/>
            <w:left w:val="none" w:sz="0" w:space="0" w:color="auto"/>
            <w:bottom w:val="none" w:sz="0" w:space="0" w:color="auto"/>
            <w:right w:val="none" w:sz="0" w:space="0" w:color="auto"/>
          </w:divBdr>
        </w:div>
        <w:div w:id="1284196003">
          <w:marLeft w:val="0"/>
          <w:marRight w:val="0"/>
          <w:marTop w:val="0"/>
          <w:marBottom w:val="0"/>
          <w:divBdr>
            <w:top w:val="none" w:sz="0" w:space="0" w:color="auto"/>
            <w:left w:val="none" w:sz="0" w:space="0" w:color="auto"/>
            <w:bottom w:val="none" w:sz="0" w:space="0" w:color="auto"/>
            <w:right w:val="none" w:sz="0" w:space="0" w:color="auto"/>
          </w:divBdr>
        </w:div>
        <w:div w:id="2066640256">
          <w:marLeft w:val="0"/>
          <w:marRight w:val="0"/>
          <w:marTop w:val="0"/>
          <w:marBottom w:val="0"/>
          <w:divBdr>
            <w:top w:val="none" w:sz="0" w:space="0" w:color="auto"/>
            <w:left w:val="none" w:sz="0" w:space="0" w:color="auto"/>
            <w:bottom w:val="none" w:sz="0" w:space="0" w:color="auto"/>
            <w:right w:val="none" w:sz="0" w:space="0" w:color="auto"/>
          </w:divBdr>
        </w:div>
        <w:div w:id="1645699788">
          <w:marLeft w:val="0"/>
          <w:marRight w:val="0"/>
          <w:marTop w:val="0"/>
          <w:marBottom w:val="0"/>
          <w:divBdr>
            <w:top w:val="none" w:sz="0" w:space="0" w:color="auto"/>
            <w:left w:val="none" w:sz="0" w:space="0" w:color="auto"/>
            <w:bottom w:val="none" w:sz="0" w:space="0" w:color="auto"/>
            <w:right w:val="none" w:sz="0" w:space="0" w:color="auto"/>
          </w:divBdr>
        </w:div>
        <w:div w:id="1585452815">
          <w:marLeft w:val="0"/>
          <w:marRight w:val="0"/>
          <w:marTop w:val="0"/>
          <w:marBottom w:val="0"/>
          <w:divBdr>
            <w:top w:val="none" w:sz="0" w:space="0" w:color="auto"/>
            <w:left w:val="none" w:sz="0" w:space="0" w:color="auto"/>
            <w:bottom w:val="none" w:sz="0" w:space="0" w:color="auto"/>
            <w:right w:val="none" w:sz="0" w:space="0" w:color="auto"/>
          </w:divBdr>
        </w:div>
      </w:divsChild>
    </w:div>
    <w:div w:id="1274286839">
      <w:bodyDiv w:val="1"/>
      <w:marLeft w:val="0"/>
      <w:marRight w:val="0"/>
      <w:marTop w:val="0"/>
      <w:marBottom w:val="0"/>
      <w:divBdr>
        <w:top w:val="none" w:sz="0" w:space="0" w:color="auto"/>
        <w:left w:val="none" w:sz="0" w:space="0" w:color="auto"/>
        <w:bottom w:val="none" w:sz="0" w:space="0" w:color="auto"/>
        <w:right w:val="none" w:sz="0" w:space="0" w:color="auto"/>
      </w:divBdr>
    </w:div>
    <w:div w:id="196129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3A8E-3D70-4C59-8356-D75B39C5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Marsh &amp; McLennan Companies</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Ross Peterson</cp:lastModifiedBy>
  <cp:revision>3</cp:revision>
  <cp:lastPrinted>2016-02-11T19:36:00Z</cp:lastPrinted>
  <dcterms:created xsi:type="dcterms:W3CDTF">2024-09-24T14:42:00Z</dcterms:created>
  <dcterms:modified xsi:type="dcterms:W3CDTF">2024-09-24T14:43:00Z</dcterms:modified>
</cp:coreProperties>
</file>