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A7" w:rsidRDefault="00A12AA7" w:rsidP="00A12AA7">
      <w:pPr>
        <w:jc w:val="center"/>
        <w:rPr>
          <w:b/>
        </w:rPr>
      </w:pPr>
      <w:bookmarkStart w:id="0" w:name="_Toc367887920"/>
      <w:r>
        <w:rPr>
          <w:b/>
        </w:rPr>
        <w:t xml:space="preserve">Results of the </w:t>
      </w:r>
      <w:r w:rsidRPr="00D16F17">
        <w:rPr>
          <w:b/>
        </w:rPr>
        <w:t xml:space="preserve">Ease of Measurement </w:t>
      </w:r>
      <w:r>
        <w:rPr>
          <w:b/>
        </w:rPr>
        <w:t>Reassessment</w:t>
      </w:r>
    </w:p>
    <w:p w:rsidR="00A12AA7" w:rsidRDefault="00A12AA7" w:rsidP="00A12AA7">
      <w:r>
        <w:t>The following list includes</w:t>
      </w:r>
      <w:r w:rsidRPr="00B610D6">
        <w:t xml:space="preserve"> measures </w:t>
      </w:r>
      <w:r>
        <w:t xml:space="preserve">that were reassessed </w:t>
      </w:r>
      <w:r>
        <w:t>with consideration to Massachusetts data resources. In the initial assessment, e</w:t>
      </w:r>
      <w:r>
        <w:t xml:space="preserve">ach of the measures </w:t>
      </w:r>
      <w:r>
        <w:t>was assigned a</w:t>
      </w:r>
      <w:r w:rsidRPr="00B610D6">
        <w:t xml:space="preserve"> 2</w:t>
      </w:r>
      <w:r>
        <w:t xml:space="preserve"> for this criterion</w:t>
      </w:r>
      <w:r w:rsidRPr="00B610D6">
        <w:t xml:space="preserve">. </w:t>
      </w:r>
    </w:p>
    <w:p w:rsidR="00A12AA7" w:rsidRPr="00A12AA7" w:rsidRDefault="00A12AA7" w:rsidP="00A12AA7">
      <w:pPr>
        <w:rPr>
          <w:b/>
        </w:rPr>
      </w:pPr>
      <w:r w:rsidRPr="00A12AA7">
        <w:rPr>
          <w:b/>
        </w:rPr>
        <w:t xml:space="preserve">Changes to Ease of Measurement </w:t>
      </w:r>
      <w:r>
        <w:rPr>
          <w:b/>
        </w:rPr>
        <w:t>s</w:t>
      </w:r>
      <w:r w:rsidRPr="00A12AA7">
        <w:rPr>
          <w:b/>
        </w:rPr>
        <w:t>coring:</w:t>
      </w:r>
    </w:p>
    <w:p w:rsidR="00A12AA7" w:rsidRDefault="00A12AA7" w:rsidP="00A12AA7">
      <w:pPr>
        <w:pStyle w:val="ListParagraph"/>
        <w:numPr>
          <w:ilvl w:val="0"/>
          <w:numId w:val="6"/>
        </w:numPr>
        <w:rPr>
          <w:rFonts w:ascii="Book Antiqua" w:hAnsi="Book Antiqua"/>
        </w:rPr>
      </w:pPr>
      <w:r w:rsidRPr="00A12AA7">
        <w:rPr>
          <w:rFonts w:ascii="Book Antiqua" w:hAnsi="Book Antiqua"/>
        </w:rPr>
        <w:t>Iatrogenic Pneumothorax Rate (PSI 6): 3</w:t>
      </w:r>
    </w:p>
    <w:p w:rsidR="00A12AA7" w:rsidRPr="00A12AA7" w:rsidRDefault="00A12AA7" w:rsidP="00A12AA7">
      <w:pPr>
        <w:pStyle w:val="ListParagraph"/>
        <w:numPr>
          <w:ilvl w:val="1"/>
          <w:numId w:val="7"/>
        </w:numPr>
        <w:rPr>
          <w:rFonts w:ascii="Book Antiqua" w:hAnsi="Book Antiqua"/>
        </w:rPr>
      </w:pPr>
      <w:r w:rsidRPr="00A12AA7">
        <w:rPr>
          <w:rFonts w:ascii="Book Antiqua" w:hAnsi="Book Antiqua"/>
        </w:rPr>
        <w:t xml:space="preserve">Case mix data includes secondary diagnosis field. </w:t>
      </w:r>
    </w:p>
    <w:p w:rsidR="00A12AA7" w:rsidRDefault="00A12AA7" w:rsidP="00A12AA7">
      <w:pPr>
        <w:pStyle w:val="ListParagraph"/>
        <w:rPr>
          <w:highlight w:val="yellow"/>
        </w:rPr>
      </w:pPr>
    </w:p>
    <w:p w:rsidR="00A12AA7" w:rsidRPr="00A12AA7" w:rsidRDefault="00A12AA7" w:rsidP="00A12AA7">
      <w:pPr>
        <w:pStyle w:val="ListParagraph"/>
        <w:numPr>
          <w:ilvl w:val="0"/>
          <w:numId w:val="6"/>
        </w:numPr>
        <w:rPr>
          <w:rFonts w:ascii="Book Antiqua" w:hAnsi="Book Antiqua"/>
        </w:rPr>
      </w:pPr>
      <w:r w:rsidRPr="00A12AA7">
        <w:rPr>
          <w:rFonts w:ascii="Book Antiqua" w:hAnsi="Book Antiqua"/>
        </w:rPr>
        <w:t>Screening for Clinical Depression: 3</w:t>
      </w:r>
    </w:p>
    <w:p w:rsidR="00A12AA7" w:rsidRDefault="00A12AA7" w:rsidP="00A12AA7">
      <w:pPr>
        <w:pStyle w:val="ListParagraph"/>
        <w:numPr>
          <w:ilvl w:val="1"/>
          <w:numId w:val="8"/>
        </w:numPr>
        <w:rPr>
          <w:rFonts w:ascii="Book Antiqua" w:hAnsi="Book Antiqua"/>
        </w:rPr>
      </w:pPr>
      <w:r w:rsidRPr="00A12AA7">
        <w:rPr>
          <w:rFonts w:ascii="Book Antiqua" w:hAnsi="Book Antiqua"/>
        </w:rPr>
        <w:t xml:space="preserve">Information not included in the data, but additional information indicates ease of measurement. </w:t>
      </w:r>
      <w:bookmarkStart w:id="1" w:name="_GoBack"/>
      <w:bookmarkEnd w:id="1"/>
    </w:p>
    <w:p w:rsidR="00A12AA7" w:rsidRPr="00A12AA7" w:rsidRDefault="00A12AA7" w:rsidP="00A12AA7">
      <w:pPr>
        <w:pStyle w:val="ListParagraph"/>
        <w:ind w:left="1440"/>
        <w:rPr>
          <w:rFonts w:ascii="Book Antiqua" w:hAnsi="Book Antiqua"/>
        </w:rPr>
      </w:pPr>
    </w:p>
    <w:p w:rsidR="00A12AA7" w:rsidRPr="00A12AA7" w:rsidRDefault="00A12AA7" w:rsidP="00A12AA7">
      <w:pPr>
        <w:pStyle w:val="ListParagraph"/>
        <w:numPr>
          <w:ilvl w:val="0"/>
          <w:numId w:val="6"/>
        </w:numPr>
        <w:rPr>
          <w:rFonts w:ascii="Book Antiqua" w:hAnsi="Book Antiqua"/>
        </w:rPr>
      </w:pPr>
      <w:r w:rsidRPr="00A12AA7">
        <w:rPr>
          <w:rFonts w:ascii="Book Antiqua" w:hAnsi="Book Antiqua"/>
        </w:rPr>
        <w:t>Hospital and Palliative Care - Treatment Preferences: 3</w:t>
      </w:r>
    </w:p>
    <w:p w:rsidR="00A12AA7" w:rsidRPr="00A12AA7" w:rsidRDefault="00A12AA7" w:rsidP="00A12AA7">
      <w:pPr>
        <w:pStyle w:val="ListParagraph"/>
        <w:numPr>
          <w:ilvl w:val="1"/>
          <w:numId w:val="9"/>
        </w:numPr>
        <w:rPr>
          <w:rFonts w:ascii="Book Antiqua" w:hAnsi="Book Antiqua"/>
        </w:rPr>
      </w:pPr>
      <w:r w:rsidRPr="00A12AA7">
        <w:rPr>
          <w:rFonts w:ascii="Book Antiqua" w:hAnsi="Book Antiqua"/>
        </w:rPr>
        <w:t xml:space="preserve">This measure is a 3 because the database includes DNR status. </w:t>
      </w:r>
    </w:p>
    <w:p w:rsidR="00A12AA7" w:rsidRPr="00A12AA7" w:rsidRDefault="00A12AA7" w:rsidP="00A12AA7">
      <w:pPr>
        <w:pStyle w:val="ListParagraph"/>
        <w:ind w:left="1440"/>
        <w:rPr>
          <w:rFonts w:ascii="Book Antiqua" w:hAnsi="Book Antiqua"/>
        </w:rPr>
      </w:pPr>
    </w:p>
    <w:p w:rsidR="00A12AA7" w:rsidRPr="00A12AA7" w:rsidRDefault="00A12AA7" w:rsidP="00A12AA7">
      <w:pPr>
        <w:pStyle w:val="ListParagraph"/>
        <w:numPr>
          <w:ilvl w:val="0"/>
          <w:numId w:val="6"/>
        </w:numPr>
        <w:rPr>
          <w:rFonts w:ascii="Book Antiqua" w:hAnsi="Book Antiqua"/>
        </w:rPr>
      </w:pPr>
      <w:r w:rsidRPr="00A12AA7">
        <w:rPr>
          <w:rFonts w:ascii="Book Antiqua" w:hAnsi="Book Antiqua"/>
        </w:rPr>
        <w:t>Hospital-Wide All-Cause Unplanned Readmission: 3</w:t>
      </w:r>
    </w:p>
    <w:p w:rsidR="00A12AA7" w:rsidRDefault="00A12AA7" w:rsidP="00A12AA7">
      <w:pPr>
        <w:pStyle w:val="ListParagraph"/>
        <w:numPr>
          <w:ilvl w:val="0"/>
          <w:numId w:val="10"/>
        </w:numPr>
        <w:tabs>
          <w:tab w:val="left" w:pos="1440"/>
        </w:tabs>
        <w:ind w:left="1440"/>
        <w:rPr>
          <w:rFonts w:ascii="Book Antiqua" w:hAnsi="Book Antiqua"/>
        </w:rPr>
      </w:pPr>
      <w:r w:rsidRPr="00A12AA7">
        <w:rPr>
          <w:rFonts w:ascii="Book Antiqua" w:hAnsi="Book Antiqua"/>
        </w:rPr>
        <w:t>It appears that the Unique Health Identification Number (UHIN) is unique for each individual, and therefore, could be used to see if an individual was readmitted to the hospital.</w:t>
      </w:r>
    </w:p>
    <w:p w:rsidR="00A12AA7" w:rsidRDefault="00A12AA7" w:rsidP="00A12AA7">
      <w:pPr>
        <w:pStyle w:val="ListParagraph"/>
        <w:tabs>
          <w:tab w:val="left" w:pos="1440"/>
        </w:tabs>
        <w:ind w:left="1440"/>
        <w:rPr>
          <w:rFonts w:ascii="Book Antiqua" w:hAnsi="Book Antiqua"/>
        </w:rPr>
      </w:pPr>
    </w:p>
    <w:p w:rsidR="00A12AA7" w:rsidRPr="00A12AA7" w:rsidRDefault="00A12AA7" w:rsidP="00A12AA7">
      <w:pPr>
        <w:pStyle w:val="ListParagraph"/>
        <w:numPr>
          <w:ilvl w:val="0"/>
          <w:numId w:val="6"/>
        </w:numPr>
        <w:rPr>
          <w:rFonts w:ascii="Book Antiqua" w:hAnsi="Book Antiqua"/>
        </w:rPr>
      </w:pPr>
      <w:r w:rsidRPr="00A12AA7">
        <w:rPr>
          <w:rFonts w:ascii="Book Antiqua" w:hAnsi="Book Antiqua"/>
        </w:rPr>
        <w:t>Birth Trauma Rate:  Injury to Neonates (PSI 17): 3</w:t>
      </w:r>
    </w:p>
    <w:p w:rsidR="00A12AA7" w:rsidRPr="00A12AA7" w:rsidRDefault="00A12AA7" w:rsidP="00A12AA7">
      <w:pPr>
        <w:pStyle w:val="ListParagraph"/>
        <w:numPr>
          <w:ilvl w:val="1"/>
          <w:numId w:val="6"/>
        </w:numPr>
        <w:rPr>
          <w:rFonts w:ascii="Book Antiqua" w:hAnsi="Book Antiqua"/>
        </w:rPr>
      </w:pPr>
      <w:r w:rsidRPr="00A12AA7">
        <w:rPr>
          <w:rFonts w:ascii="Book Antiqua" w:hAnsi="Book Antiqua"/>
        </w:rPr>
        <w:t>Data includes diagnosis fields</w:t>
      </w:r>
    </w:p>
    <w:p w:rsidR="00A12AA7" w:rsidRPr="00A12AA7" w:rsidRDefault="00A12AA7" w:rsidP="00A12AA7">
      <w:pPr>
        <w:pStyle w:val="ListParagraph"/>
        <w:ind w:left="1440"/>
        <w:rPr>
          <w:rFonts w:ascii="Book Antiqua" w:hAnsi="Book Antiqua"/>
        </w:rPr>
      </w:pPr>
    </w:p>
    <w:p w:rsidR="00A12AA7" w:rsidRPr="00A12AA7" w:rsidRDefault="00A12AA7" w:rsidP="00A12AA7">
      <w:pPr>
        <w:pStyle w:val="ListParagraph"/>
        <w:numPr>
          <w:ilvl w:val="0"/>
          <w:numId w:val="6"/>
        </w:numPr>
        <w:rPr>
          <w:rFonts w:ascii="Book Antiqua" w:hAnsi="Book Antiqua"/>
        </w:rPr>
      </w:pPr>
      <w:r w:rsidRPr="00A12AA7">
        <w:rPr>
          <w:rFonts w:ascii="Book Antiqua" w:hAnsi="Book Antiqua"/>
        </w:rPr>
        <w:t>Central Venous Catheter-Related Blood Stream Infection Rate (PSI 7): 3</w:t>
      </w:r>
    </w:p>
    <w:p w:rsidR="00A12AA7" w:rsidRPr="00A12AA7" w:rsidRDefault="00A12AA7" w:rsidP="00A12AA7">
      <w:pPr>
        <w:pStyle w:val="ListParagraph"/>
        <w:numPr>
          <w:ilvl w:val="1"/>
          <w:numId w:val="6"/>
        </w:numPr>
        <w:rPr>
          <w:rFonts w:ascii="Book Antiqua" w:hAnsi="Book Antiqua"/>
        </w:rPr>
      </w:pPr>
      <w:r w:rsidRPr="00A12AA7">
        <w:rPr>
          <w:rFonts w:ascii="Book Antiqua" w:hAnsi="Book Antiqua"/>
        </w:rPr>
        <w:t xml:space="preserve">Case mix data includes secondary diagnosis field. </w:t>
      </w:r>
    </w:p>
    <w:p w:rsidR="00A12AA7" w:rsidRPr="00A12AA7" w:rsidRDefault="00A12AA7" w:rsidP="00A12AA7">
      <w:pPr>
        <w:rPr>
          <w:b/>
        </w:rPr>
      </w:pPr>
      <w:r>
        <w:rPr>
          <w:b/>
        </w:rPr>
        <w:t>Measures for which scoring did not change</w:t>
      </w:r>
      <w:r w:rsidRPr="00A12AA7">
        <w:rPr>
          <w:b/>
        </w:rPr>
        <w:t>:</w:t>
      </w:r>
    </w:p>
    <w:p w:rsidR="00A12AA7" w:rsidRPr="00A12AA7" w:rsidRDefault="00A12AA7" w:rsidP="00A12AA7">
      <w:pPr>
        <w:pStyle w:val="ListParagraph"/>
        <w:numPr>
          <w:ilvl w:val="0"/>
          <w:numId w:val="4"/>
        </w:numPr>
        <w:rPr>
          <w:rFonts w:ascii="Book Antiqua" w:hAnsi="Book Antiqua"/>
        </w:rPr>
      </w:pPr>
      <w:r w:rsidRPr="00A12AA7">
        <w:rPr>
          <w:rFonts w:ascii="Book Antiqua" w:hAnsi="Book Antiqua"/>
        </w:rPr>
        <w:t>Asthma Emergency Department Visits: 2</w:t>
      </w:r>
    </w:p>
    <w:p w:rsidR="00A12AA7" w:rsidRPr="00A12AA7" w:rsidRDefault="00A12AA7" w:rsidP="00A12AA7">
      <w:pPr>
        <w:pStyle w:val="ListParagraph"/>
        <w:numPr>
          <w:ilvl w:val="1"/>
          <w:numId w:val="11"/>
        </w:numPr>
        <w:rPr>
          <w:rFonts w:ascii="Book Antiqua" w:hAnsi="Book Antiqua"/>
        </w:rPr>
      </w:pPr>
      <w:r w:rsidRPr="00A12AA7">
        <w:rPr>
          <w:rFonts w:ascii="Book Antiqua" w:hAnsi="Book Antiqua"/>
        </w:rPr>
        <w:t xml:space="preserve">This measure looks at the percentage of individuals with asthma that were admitted to the ED. The data would include those admitted to the ED due to asthma, but would not include the total number of individuals with asthma. </w:t>
      </w:r>
    </w:p>
    <w:p w:rsidR="00A12AA7" w:rsidRPr="00A12AA7" w:rsidRDefault="00A12AA7" w:rsidP="00A12AA7">
      <w:pPr>
        <w:pStyle w:val="ListParagraph"/>
        <w:ind w:left="1440"/>
        <w:rPr>
          <w:rFonts w:ascii="Book Antiqua" w:hAnsi="Book Antiqua"/>
        </w:rPr>
      </w:pPr>
    </w:p>
    <w:p w:rsidR="00A12AA7" w:rsidRPr="00A12AA7" w:rsidRDefault="00A12AA7" w:rsidP="00A12AA7">
      <w:pPr>
        <w:pStyle w:val="ListParagraph"/>
        <w:numPr>
          <w:ilvl w:val="0"/>
          <w:numId w:val="4"/>
        </w:numPr>
        <w:rPr>
          <w:rFonts w:ascii="Book Antiqua" w:hAnsi="Book Antiqua"/>
        </w:rPr>
      </w:pPr>
      <w:r w:rsidRPr="00A12AA7">
        <w:rPr>
          <w:rFonts w:ascii="Book Antiqua" w:hAnsi="Book Antiqua"/>
        </w:rPr>
        <w:t>Adherence to Antipsychotics for I</w:t>
      </w:r>
      <w:r w:rsidRPr="00A12AA7">
        <w:rPr>
          <w:rFonts w:ascii="Book Antiqua" w:hAnsi="Book Antiqua"/>
        </w:rPr>
        <w:t>ndividuals with Schizophrenia: 2</w:t>
      </w:r>
    </w:p>
    <w:p w:rsidR="00A12AA7" w:rsidRPr="00A12AA7" w:rsidRDefault="00921ECA" w:rsidP="00921ECA">
      <w:pPr>
        <w:pStyle w:val="ListParagraph"/>
        <w:numPr>
          <w:ilvl w:val="0"/>
          <w:numId w:val="12"/>
        </w:numPr>
        <w:ind w:left="1440"/>
        <w:rPr>
          <w:rFonts w:ascii="Book Antiqua" w:hAnsi="Book Antiqua"/>
        </w:rPr>
      </w:pPr>
      <w:r>
        <w:rPr>
          <w:rFonts w:ascii="Book Antiqua" w:hAnsi="Book Antiqua"/>
        </w:rPr>
        <w:t>Necessary i</w:t>
      </w:r>
      <w:r w:rsidR="00A12AA7" w:rsidRPr="00A12AA7">
        <w:rPr>
          <w:rFonts w:ascii="Book Antiqua" w:hAnsi="Book Antiqua"/>
        </w:rPr>
        <w:t xml:space="preserve">nformation not included in the data. </w:t>
      </w:r>
    </w:p>
    <w:p w:rsidR="00A12AA7" w:rsidRPr="00A12AA7" w:rsidRDefault="00A12AA7" w:rsidP="00A12AA7">
      <w:pPr>
        <w:pStyle w:val="ListParagraph"/>
        <w:ind w:left="1440"/>
        <w:rPr>
          <w:rFonts w:ascii="Book Antiqua" w:hAnsi="Book Antiqua"/>
        </w:rPr>
      </w:pPr>
    </w:p>
    <w:p w:rsidR="00A12AA7" w:rsidRPr="00A12AA7" w:rsidRDefault="00A12AA7" w:rsidP="00A12AA7">
      <w:pPr>
        <w:pStyle w:val="ListParagraph"/>
        <w:numPr>
          <w:ilvl w:val="0"/>
          <w:numId w:val="4"/>
        </w:numPr>
        <w:rPr>
          <w:rFonts w:ascii="Book Antiqua" w:hAnsi="Book Antiqua"/>
        </w:rPr>
      </w:pPr>
      <w:r w:rsidRPr="00A12AA7">
        <w:rPr>
          <w:rFonts w:ascii="Book Antiqua" w:hAnsi="Book Antiqua"/>
        </w:rPr>
        <w:t>Computerized Physician Order Entry System: 2</w:t>
      </w:r>
    </w:p>
    <w:p w:rsidR="00A12AA7" w:rsidRPr="00A12AA7" w:rsidRDefault="00921ECA" w:rsidP="00A12AA7">
      <w:pPr>
        <w:pStyle w:val="ListParagraph"/>
        <w:numPr>
          <w:ilvl w:val="1"/>
          <w:numId w:val="13"/>
        </w:numPr>
        <w:rPr>
          <w:rFonts w:ascii="Book Antiqua" w:hAnsi="Book Antiqua"/>
        </w:rPr>
      </w:pPr>
      <w:r>
        <w:rPr>
          <w:rFonts w:ascii="Book Antiqua" w:hAnsi="Book Antiqua"/>
        </w:rPr>
        <w:t xml:space="preserve"> </w:t>
      </w:r>
      <w:r>
        <w:rPr>
          <w:rFonts w:ascii="Book Antiqua" w:hAnsi="Book Antiqua"/>
        </w:rPr>
        <w:t xml:space="preserve">Necessary </w:t>
      </w:r>
      <w:r>
        <w:rPr>
          <w:rFonts w:ascii="Book Antiqua" w:hAnsi="Book Antiqua"/>
        </w:rPr>
        <w:t>i</w:t>
      </w:r>
      <w:r w:rsidR="00A12AA7" w:rsidRPr="00A12AA7">
        <w:rPr>
          <w:rFonts w:ascii="Book Antiqua" w:hAnsi="Book Antiqua"/>
        </w:rPr>
        <w:t xml:space="preserve">nformation not included in the data. </w:t>
      </w:r>
    </w:p>
    <w:p w:rsidR="00A12AA7" w:rsidRDefault="00A12AA7" w:rsidP="005D26CD">
      <w:pPr>
        <w:pStyle w:val="Heading2"/>
      </w:pPr>
    </w:p>
    <w:p w:rsidR="00A12AA7" w:rsidRDefault="00A12AA7" w:rsidP="00A12AA7">
      <w:pPr>
        <w:pStyle w:val="BodyText"/>
        <w:jc w:val="center"/>
      </w:pPr>
      <w:r>
        <w:lastRenderedPageBreak/>
        <w:t>Revised Assessment</w:t>
      </w:r>
    </w:p>
    <w:p w:rsidR="005D26CD" w:rsidRDefault="005D26CD" w:rsidP="00A12AA7">
      <w:pPr>
        <w:pStyle w:val="BodyText"/>
        <w:jc w:val="center"/>
      </w:pPr>
      <w:r w:rsidRPr="00F309DC">
        <w:t>Measure 1</w:t>
      </w:r>
      <w:r>
        <w:t>3</w:t>
      </w:r>
      <w:r w:rsidRPr="00F309DC">
        <w:t xml:space="preserve">: </w:t>
      </w:r>
      <w:r>
        <w:t>Screening for Clinical Depression</w:t>
      </w:r>
      <w:bookmarkEnd w:id="0"/>
    </w:p>
    <w:p w:rsidR="00A12AA7" w:rsidRPr="00F309DC" w:rsidRDefault="00A12AA7" w:rsidP="00A12AA7">
      <w:pPr>
        <w:pStyle w:val="BodyText"/>
        <w:jc w:val="center"/>
      </w:pPr>
    </w:p>
    <w:p w:rsidR="005D26CD" w:rsidRPr="00F309DC" w:rsidRDefault="005D26CD" w:rsidP="005D26CD">
      <w:r w:rsidRPr="00F309DC">
        <w:rPr>
          <w:b/>
        </w:rPr>
        <w:t>Description:</w:t>
      </w:r>
      <w:r w:rsidRPr="00F309DC">
        <w:t xml:space="preserve"> </w:t>
      </w:r>
      <w:r w:rsidRPr="005D26CD">
        <w:t>Percentage of patients aged 18 years and older screened for clinical depression using a standardized tool and follow up plan documented.</w:t>
      </w:r>
    </w:p>
    <w:p w:rsidR="005D26CD" w:rsidRPr="00F309DC" w:rsidRDefault="005D26CD" w:rsidP="005D26CD">
      <w:r w:rsidRPr="00F309DC">
        <w:rPr>
          <w:b/>
        </w:rPr>
        <w:t xml:space="preserve">Developer: </w:t>
      </w:r>
      <w:r>
        <w:t>Alabama Medicaid/CMS</w:t>
      </w:r>
    </w:p>
    <w:p w:rsidR="005D26CD" w:rsidRPr="00F309DC" w:rsidRDefault="005D26CD" w:rsidP="005D26CD">
      <w:r w:rsidRPr="00F309DC">
        <w:rPr>
          <w:b/>
        </w:rPr>
        <w:t xml:space="preserve">SQAC Priority Areas: </w:t>
      </w:r>
      <w:r>
        <w:t>Mental Health</w:t>
      </w:r>
    </w:p>
    <w:p w:rsidR="005D26CD" w:rsidRPr="00F309DC" w:rsidRDefault="005D26CD" w:rsidP="005D26CD">
      <w:r w:rsidRPr="00F309DC">
        <w:rPr>
          <w:b/>
        </w:rPr>
        <w:t xml:space="preserve">Standard Measure Set: </w:t>
      </w:r>
      <w:r>
        <w:t>None</w:t>
      </w:r>
    </w:p>
    <w:p w:rsidR="005D26CD" w:rsidRPr="00F309DC" w:rsidRDefault="005D26CD" w:rsidP="005D26CD">
      <w:pPr>
        <w:pBdr>
          <w:bottom w:val="single" w:sz="4" w:space="2" w:color="auto"/>
        </w:pBdr>
        <w:rPr>
          <w:b/>
        </w:rPr>
      </w:pPr>
      <w:r w:rsidRPr="00F309DC">
        <w:rPr>
          <w:b/>
        </w:rPr>
        <w:t>Measure Evaluation</w:t>
      </w:r>
    </w:p>
    <w:p w:rsidR="005D26CD" w:rsidRPr="00F309DC" w:rsidRDefault="005D26CD" w:rsidP="005D26CD">
      <w:pPr>
        <w:pStyle w:val="ListParagraph"/>
        <w:numPr>
          <w:ilvl w:val="0"/>
          <w:numId w:val="2"/>
        </w:numPr>
        <w:rPr>
          <w:rFonts w:ascii="Book Antiqua" w:hAnsi="Book Antiqua"/>
        </w:rPr>
      </w:pPr>
      <w:r w:rsidRPr="00F309DC">
        <w:rPr>
          <w:rFonts w:ascii="Book Antiqua" w:hAnsi="Book Antiqua"/>
          <w:b/>
        </w:rPr>
        <w:t>Reliability and Validity:</w:t>
      </w:r>
      <w:r w:rsidRPr="00F309DC">
        <w:rPr>
          <w:rFonts w:ascii="Book Antiqua" w:hAnsi="Book Antiqua"/>
        </w:rPr>
        <w:t xml:space="preserve"> </w:t>
      </w:r>
      <w:r>
        <w:rPr>
          <w:rFonts w:ascii="Book Antiqua" w:hAnsi="Book Antiqua"/>
        </w:rPr>
        <w:t xml:space="preserve"> </w:t>
      </w:r>
      <w:r w:rsidRPr="00F309DC">
        <w:rPr>
          <w:rFonts w:ascii="Book Antiqua" w:hAnsi="Book Antiqua"/>
        </w:rPr>
        <w:t>2</w:t>
      </w:r>
    </w:p>
    <w:p w:rsidR="005D26CD" w:rsidRPr="00F309DC" w:rsidRDefault="005D26CD" w:rsidP="005D26CD">
      <w:pPr>
        <w:pStyle w:val="ListParagraph"/>
        <w:ind w:left="360"/>
        <w:rPr>
          <w:rFonts w:ascii="Book Antiqua" w:hAnsi="Book Antiqua"/>
        </w:rPr>
      </w:pPr>
    </w:p>
    <w:p w:rsidR="005D26CD" w:rsidRPr="00213953" w:rsidRDefault="005D26CD" w:rsidP="005D26CD">
      <w:pPr>
        <w:pStyle w:val="ListParagraph"/>
        <w:ind w:left="360"/>
        <w:rPr>
          <w:rFonts w:ascii="Book Antiqua" w:hAnsi="Book Antiqua"/>
        </w:rPr>
      </w:pPr>
      <w:r w:rsidRPr="00F309DC">
        <w:rPr>
          <w:rFonts w:ascii="Book Antiqua" w:hAnsi="Book Antiqua"/>
        </w:rPr>
        <w:t>There is mixed evidence on both reliability and validity</w:t>
      </w:r>
      <w:r>
        <w:rPr>
          <w:rFonts w:ascii="Book Antiqua" w:hAnsi="Book Antiqua"/>
        </w:rPr>
        <w:t xml:space="preserve">. </w:t>
      </w:r>
      <w:r w:rsidR="00E415EF">
        <w:rPr>
          <w:rFonts w:ascii="Book Antiqua" w:hAnsi="Book Antiqua"/>
        </w:rPr>
        <w:t xml:space="preserve"> </w:t>
      </w:r>
      <w:r w:rsidR="00E415EF" w:rsidRPr="00213953">
        <w:rPr>
          <w:rFonts w:ascii="Book Antiqua" w:hAnsi="Book Antiqua"/>
        </w:rPr>
        <w:t xml:space="preserve">Several depression screening instruments are available; most instruments have relatively good sensitivity (80 percent to 90 percent) but only fair specificity (70 to 85 percent). </w:t>
      </w:r>
      <w:r w:rsidR="00E415EF" w:rsidRPr="00213953">
        <w:rPr>
          <w:rStyle w:val="FootnoteReference"/>
          <w:rFonts w:ascii="Book Antiqua" w:hAnsi="Book Antiqua"/>
        </w:rPr>
        <w:footnoteReference w:id="1"/>
      </w:r>
    </w:p>
    <w:p w:rsidR="00E415EF" w:rsidRPr="00F309DC" w:rsidRDefault="00E415EF" w:rsidP="005D26CD">
      <w:pPr>
        <w:pStyle w:val="ListParagraph"/>
        <w:ind w:left="360"/>
        <w:rPr>
          <w:rFonts w:ascii="Book Antiqua" w:hAnsi="Book Antiqua"/>
        </w:rPr>
      </w:pPr>
    </w:p>
    <w:p w:rsidR="005D26CD" w:rsidRPr="00A12AA7" w:rsidRDefault="005D26CD" w:rsidP="005D26CD">
      <w:pPr>
        <w:pStyle w:val="ListParagraph"/>
        <w:numPr>
          <w:ilvl w:val="0"/>
          <w:numId w:val="2"/>
        </w:numPr>
        <w:rPr>
          <w:rFonts w:ascii="Book Antiqua" w:hAnsi="Book Antiqua"/>
          <w:i/>
        </w:rPr>
      </w:pPr>
      <w:r w:rsidRPr="00F309DC">
        <w:rPr>
          <w:rFonts w:ascii="Book Antiqua" w:hAnsi="Book Antiqua"/>
          <w:b/>
        </w:rPr>
        <w:t>Ease of Measurement:</w:t>
      </w:r>
      <w:r w:rsidRPr="00F309DC">
        <w:rPr>
          <w:rFonts w:ascii="Book Antiqua" w:hAnsi="Book Antiqua"/>
        </w:rPr>
        <w:t xml:space="preserve"> </w:t>
      </w:r>
      <w:r>
        <w:rPr>
          <w:rFonts w:ascii="Book Antiqua" w:hAnsi="Book Antiqua"/>
        </w:rPr>
        <w:t xml:space="preserve"> </w:t>
      </w:r>
      <w:r w:rsidR="0080757F">
        <w:rPr>
          <w:rFonts w:ascii="Book Antiqua" w:hAnsi="Book Antiqua"/>
        </w:rPr>
        <w:t>3</w:t>
      </w:r>
      <w:r w:rsidR="00A12AA7">
        <w:rPr>
          <w:rFonts w:ascii="Book Antiqua" w:hAnsi="Book Antiqua"/>
        </w:rPr>
        <w:t xml:space="preserve"> </w:t>
      </w:r>
      <w:r w:rsidR="00A12AA7" w:rsidRPr="00A12AA7">
        <w:rPr>
          <w:rFonts w:ascii="Book Antiqua" w:hAnsi="Book Antiqua"/>
          <w:i/>
        </w:rPr>
        <w:t>(formerly 2)</w:t>
      </w:r>
    </w:p>
    <w:p w:rsidR="005D26CD" w:rsidRPr="00F309DC" w:rsidRDefault="005D26CD" w:rsidP="00213953">
      <w:pPr>
        <w:ind w:left="360"/>
      </w:pPr>
      <w:r w:rsidRPr="00213953">
        <w:t xml:space="preserve">There is </w:t>
      </w:r>
      <w:r w:rsidR="00A07203" w:rsidRPr="00213953">
        <w:t xml:space="preserve">some </w:t>
      </w:r>
      <w:r w:rsidRPr="00213953">
        <w:t>evidence of some collection and reporting.</w:t>
      </w:r>
      <w:r w:rsidR="00213953" w:rsidRPr="00213953">
        <w:t xml:space="preserve">  The measure is currently part of the PQRS EHR, PQRS Group Reporting, and ACO measure sets.</w:t>
      </w:r>
      <w:r w:rsidR="00213953">
        <w:rPr>
          <w:rStyle w:val="FootnoteReference"/>
        </w:rPr>
        <w:footnoteReference w:id="2"/>
      </w:r>
      <w:r w:rsidR="00213953" w:rsidRPr="00213953">
        <w:t xml:space="preserve">  According to the specifications manual for PQRS measures, the Screening for Clinical Depression measure only requires CPT, HCPCS, and G-codes to calculate. </w:t>
      </w:r>
      <w:r w:rsidR="00213953">
        <w:rPr>
          <w:rStyle w:val="FootnoteReference"/>
        </w:rPr>
        <w:footnoteReference w:id="3"/>
      </w:r>
    </w:p>
    <w:p w:rsidR="005D26CD" w:rsidRPr="00F309DC" w:rsidRDefault="005D26CD" w:rsidP="005D26CD">
      <w:pPr>
        <w:pStyle w:val="ListParagraph"/>
        <w:numPr>
          <w:ilvl w:val="0"/>
          <w:numId w:val="2"/>
        </w:numPr>
        <w:rPr>
          <w:rFonts w:ascii="Book Antiqua" w:hAnsi="Book Antiqua"/>
        </w:rPr>
      </w:pPr>
      <w:r w:rsidRPr="00F309DC">
        <w:rPr>
          <w:rFonts w:ascii="Book Antiqua" w:hAnsi="Book Antiqua"/>
          <w:b/>
        </w:rPr>
        <w:t>Field Implementation:</w:t>
      </w:r>
      <w:r w:rsidRPr="00F309DC">
        <w:rPr>
          <w:rFonts w:ascii="Book Antiqua" w:hAnsi="Book Antiqua"/>
        </w:rPr>
        <w:t xml:space="preserve"> </w:t>
      </w:r>
      <w:r>
        <w:rPr>
          <w:rFonts w:ascii="Book Antiqua" w:hAnsi="Book Antiqua"/>
        </w:rPr>
        <w:t xml:space="preserve"> </w:t>
      </w:r>
      <w:r w:rsidRPr="00F309DC">
        <w:rPr>
          <w:rFonts w:ascii="Book Antiqua" w:hAnsi="Book Antiqua"/>
        </w:rPr>
        <w:t xml:space="preserve">1 </w:t>
      </w:r>
    </w:p>
    <w:p w:rsidR="005D26CD" w:rsidRPr="00F309DC" w:rsidRDefault="005D26CD" w:rsidP="005D26CD">
      <w:pPr>
        <w:pStyle w:val="ListParagraph"/>
        <w:ind w:left="360"/>
        <w:rPr>
          <w:rFonts w:ascii="Book Antiqua" w:hAnsi="Book Antiqua"/>
        </w:rPr>
      </w:pPr>
    </w:p>
    <w:p w:rsidR="005D26CD" w:rsidRPr="00F309DC" w:rsidRDefault="005D26CD" w:rsidP="005D26CD">
      <w:pPr>
        <w:pStyle w:val="ListParagraph"/>
        <w:ind w:left="360"/>
        <w:rPr>
          <w:rFonts w:ascii="Book Antiqua" w:hAnsi="Book Antiqua"/>
        </w:rPr>
      </w:pPr>
      <w:r w:rsidRPr="00F309DC">
        <w:rPr>
          <w:rFonts w:ascii="Book Antiqua" w:hAnsi="Book Antiqua"/>
        </w:rPr>
        <w:t>There is mixed or scant evidence on implementation.</w:t>
      </w:r>
      <w:r w:rsidR="0080757F">
        <w:rPr>
          <w:rFonts w:ascii="Book Antiqua" w:hAnsi="Book Antiqua"/>
        </w:rPr>
        <w:t xml:space="preserve">  One issue is the range of screening tools available; as a result it is difficult to assess how widely the measure is implemented. </w:t>
      </w:r>
    </w:p>
    <w:p w:rsidR="005D26CD" w:rsidRDefault="005D26CD" w:rsidP="005D26CD">
      <w:pPr>
        <w:pStyle w:val="ListParagraph"/>
        <w:ind w:left="360"/>
        <w:rPr>
          <w:rFonts w:ascii="Book Antiqua" w:hAnsi="Book Antiqua"/>
        </w:rPr>
      </w:pPr>
    </w:p>
    <w:p w:rsidR="005D26CD" w:rsidRPr="00F309DC" w:rsidRDefault="005D26CD" w:rsidP="005D26CD">
      <w:pPr>
        <w:pStyle w:val="ListParagraph"/>
        <w:numPr>
          <w:ilvl w:val="0"/>
          <w:numId w:val="2"/>
        </w:numPr>
        <w:rPr>
          <w:rFonts w:ascii="Book Antiqua" w:hAnsi="Book Antiqua"/>
        </w:rPr>
      </w:pPr>
      <w:r w:rsidRPr="00F309DC">
        <w:rPr>
          <w:rFonts w:ascii="Book Antiqua" w:hAnsi="Book Antiqua"/>
          <w:b/>
        </w:rPr>
        <w:t>Amenable to Targeted Improvement:</w:t>
      </w:r>
      <w:r>
        <w:rPr>
          <w:rFonts w:ascii="Book Antiqua" w:hAnsi="Book Antiqua"/>
          <w:b/>
        </w:rPr>
        <w:t xml:space="preserve"> </w:t>
      </w:r>
      <w:r w:rsidRPr="00F309DC">
        <w:rPr>
          <w:rFonts w:ascii="Book Antiqua" w:hAnsi="Book Antiqua"/>
          <w:b/>
        </w:rPr>
        <w:t xml:space="preserve"> </w:t>
      </w:r>
      <w:r w:rsidR="00A07203">
        <w:rPr>
          <w:rFonts w:ascii="Book Antiqua" w:hAnsi="Book Antiqua"/>
        </w:rPr>
        <w:t>1</w:t>
      </w:r>
    </w:p>
    <w:p w:rsidR="00A07203" w:rsidRPr="00E415EF" w:rsidRDefault="005D26CD" w:rsidP="00E415EF">
      <w:pPr>
        <w:pStyle w:val="ListParagraph"/>
        <w:ind w:left="360"/>
        <w:rPr>
          <w:rFonts w:ascii="Book Antiqua" w:hAnsi="Book Antiqua"/>
        </w:rPr>
      </w:pPr>
      <w:r w:rsidRPr="00F309DC">
        <w:rPr>
          <w:rFonts w:ascii="Book Antiqua" w:hAnsi="Book Antiqua"/>
        </w:rPr>
        <w:lastRenderedPageBreak/>
        <w:t xml:space="preserve">The </w:t>
      </w:r>
      <w:r w:rsidR="00A07203">
        <w:rPr>
          <w:rFonts w:ascii="Book Antiqua" w:hAnsi="Book Antiqua"/>
        </w:rPr>
        <w:t xml:space="preserve">overall evidence on this dimension is weak.  </w:t>
      </w:r>
      <w:proofErr w:type="spellStart"/>
      <w:r w:rsidR="00E415EF">
        <w:rPr>
          <w:rFonts w:ascii="Book Antiqua" w:hAnsi="Book Antiqua"/>
        </w:rPr>
        <w:t>Luchins</w:t>
      </w:r>
      <w:proofErr w:type="spellEnd"/>
      <w:r w:rsidR="00E415EF">
        <w:rPr>
          <w:rFonts w:ascii="Book Antiqua" w:hAnsi="Book Antiqua"/>
        </w:rPr>
        <w:t xml:space="preserve"> (2010) found that a</w:t>
      </w:r>
      <w:r w:rsidR="00E415EF" w:rsidRPr="00E415EF">
        <w:rPr>
          <w:rFonts w:ascii="Book Antiqua" w:hAnsi="Book Antiqua"/>
        </w:rPr>
        <w:t>lthough routine depression screening</w:t>
      </w:r>
      <w:r w:rsidR="00E415EF">
        <w:rPr>
          <w:rFonts w:ascii="Book Antiqua" w:hAnsi="Book Antiqua"/>
        </w:rPr>
        <w:t xml:space="preserve"> </w:t>
      </w:r>
      <w:r w:rsidR="00E415EF" w:rsidRPr="00E415EF">
        <w:rPr>
          <w:rFonts w:ascii="Book Antiqua" w:hAnsi="Book Antiqua"/>
        </w:rPr>
        <w:t>may be an acceptable practice guideline, its</w:t>
      </w:r>
      <w:r w:rsidR="00E415EF">
        <w:rPr>
          <w:rFonts w:ascii="Book Antiqua" w:hAnsi="Book Antiqua"/>
        </w:rPr>
        <w:t xml:space="preserve"> </w:t>
      </w:r>
      <w:r w:rsidR="00E415EF" w:rsidRPr="00E415EF">
        <w:rPr>
          <w:rFonts w:ascii="Book Antiqua" w:hAnsi="Book Antiqua"/>
        </w:rPr>
        <w:t>use as a quality measure is not supported.</w:t>
      </w:r>
      <w:r w:rsidR="00E415EF">
        <w:rPr>
          <w:rStyle w:val="FootnoteReference"/>
          <w:rFonts w:ascii="Book Antiqua" w:hAnsi="Book Antiqua"/>
        </w:rPr>
        <w:footnoteReference w:id="4"/>
      </w:r>
    </w:p>
    <w:p w:rsidR="005D26CD" w:rsidRPr="00F309DC" w:rsidRDefault="005D26CD" w:rsidP="005D26CD">
      <w:pPr>
        <w:pBdr>
          <w:bottom w:val="single" w:sz="4" w:space="2" w:color="auto"/>
        </w:pBdr>
        <w:rPr>
          <w:b/>
        </w:rPr>
      </w:pPr>
      <w:r w:rsidRPr="00F309DC">
        <w:rPr>
          <w:b/>
        </w:rPr>
        <w:t>Overall Recommendation</w:t>
      </w:r>
    </w:p>
    <w:p w:rsidR="005D26CD" w:rsidRPr="00F309DC" w:rsidRDefault="00A07203" w:rsidP="005D26CD">
      <w:pPr>
        <w:rPr>
          <w:b/>
        </w:rPr>
      </w:pPr>
      <w:r>
        <w:rPr>
          <w:b/>
        </w:rPr>
        <w:t xml:space="preserve">Screening for Clinical Depression: </w:t>
      </w:r>
      <w:r w:rsidR="005D26CD" w:rsidRPr="00F309DC">
        <w:rPr>
          <w:b/>
        </w:rPr>
        <w:t xml:space="preserve"> MODERATE</w:t>
      </w:r>
    </w:p>
    <w:p w:rsidR="005D26CD" w:rsidRPr="00F309DC" w:rsidRDefault="005D26CD" w:rsidP="005D26CD">
      <w:pPr>
        <w:pStyle w:val="ListParagraph"/>
        <w:numPr>
          <w:ilvl w:val="0"/>
          <w:numId w:val="1"/>
        </w:numPr>
        <w:rPr>
          <w:rFonts w:ascii="Book Antiqua" w:hAnsi="Book Antiqua"/>
        </w:rPr>
      </w:pPr>
      <w:r w:rsidRPr="00F309DC">
        <w:rPr>
          <w:rFonts w:ascii="Book Antiqua" w:hAnsi="Book Antiqua"/>
        </w:rPr>
        <w:t>Average Score:</w:t>
      </w:r>
      <w:r w:rsidR="00A07203">
        <w:rPr>
          <w:rFonts w:ascii="Book Antiqua" w:hAnsi="Book Antiqua"/>
        </w:rPr>
        <w:t xml:space="preserve"> 1.</w:t>
      </w:r>
      <w:r w:rsidR="00D91DC2">
        <w:rPr>
          <w:rFonts w:ascii="Book Antiqua" w:hAnsi="Book Antiqua"/>
        </w:rPr>
        <w:t>7</w:t>
      </w:r>
      <w:r w:rsidR="00A07203">
        <w:rPr>
          <w:rFonts w:ascii="Book Antiqua" w:hAnsi="Book Antiqua"/>
        </w:rPr>
        <w:t>5</w:t>
      </w:r>
      <w:r w:rsidR="00A12AA7">
        <w:rPr>
          <w:rFonts w:ascii="Book Antiqua" w:hAnsi="Book Antiqua"/>
        </w:rPr>
        <w:t xml:space="preserve"> </w:t>
      </w:r>
      <w:r w:rsidR="00A12AA7" w:rsidRPr="00A12AA7">
        <w:rPr>
          <w:rFonts w:ascii="Book Antiqua" w:hAnsi="Book Antiqua"/>
          <w:i/>
        </w:rPr>
        <w:t>(formerly 1.5)</w:t>
      </w:r>
    </w:p>
    <w:p w:rsidR="005D26CD" w:rsidRPr="00F309DC" w:rsidRDefault="005D26CD" w:rsidP="005D26CD">
      <w:pPr>
        <w:pStyle w:val="ListParagraph"/>
        <w:numPr>
          <w:ilvl w:val="0"/>
          <w:numId w:val="1"/>
        </w:numPr>
        <w:rPr>
          <w:rFonts w:ascii="Book Antiqua" w:hAnsi="Book Antiqua"/>
        </w:rPr>
      </w:pPr>
      <w:r w:rsidRPr="00F309DC">
        <w:rPr>
          <w:rFonts w:ascii="Book Antiqua" w:hAnsi="Book Antiqua"/>
        </w:rPr>
        <w:t>Meets SQAC Priority: Y</w:t>
      </w:r>
      <w:r w:rsidR="00A12AA7">
        <w:rPr>
          <w:rFonts w:ascii="Book Antiqua" w:hAnsi="Book Antiqua"/>
        </w:rPr>
        <w:t>ES</w:t>
      </w:r>
    </w:p>
    <w:p w:rsidR="005D26CD" w:rsidRPr="00F309DC" w:rsidRDefault="005D26CD" w:rsidP="005D26CD">
      <w:pPr>
        <w:pStyle w:val="ListParagraph"/>
        <w:numPr>
          <w:ilvl w:val="0"/>
          <w:numId w:val="2"/>
        </w:numPr>
        <w:rPr>
          <w:rFonts w:ascii="Book Antiqua" w:hAnsi="Book Antiqua"/>
        </w:rPr>
      </w:pPr>
      <w:r w:rsidRPr="00F309DC">
        <w:rPr>
          <w:rFonts w:ascii="Book Antiqua" w:hAnsi="Book Antiqua"/>
        </w:rPr>
        <w:t>Endorsed by NQF or included in nationally recognized measure set:  Y</w:t>
      </w:r>
      <w:r w:rsidR="00A12AA7">
        <w:rPr>
          <w:rFonts w:ascii="Book Antiqua" w:hAnsi="Book Antiqua"/>
        </w:rPr>
        <w:t>ES</w:t>
      </w:r>
    </w:p>
    <w:p w:rsidR="005D26CD" w:rsidRPr="00F309DC" w:rsidRDefault="00A07203" w:rsidP="005D26CD">
      <w:pPr>
        <w:pStyle w:val="ListParagraph"/>
        <w:ind w:left="360"/>
        <w:rPr>
          <w:rFonts w:ascii="Book Antiqua" w:hAnsi="Book Antiqua"/>
          <w:i/>
        </w:rPr>
      </w:pPr>
      <w:r>
        <w:rPr>
          <w:rFonts w:ascii="Book Antiqua" w:hAnsi="Book Antiqua"/>
          <w:i/>
        </w:rPr>
        <w:t>Several alternative measures</w:t>
      </w:r>
    </w:p>
    <w:p w:rsidR="005D26CD" w:rsidRPr="00F309DC" w:rsidRDefault="005D26CD" w:rsidP="005D26CD">
      <w:pPr>
        <w:pStyle w:val="ListParagraph"/>
        <w:numPr>
          <w:ilvl w:val="0"/>
          <w:numId w:val="2"/>
        </w:numPr>
        <w:rPr>
          <w:rFonts w:ascii="Book Antiqua" w:hAnsi="Book Antiqua"/>
        </w:rPr>
      </w:pPr>
      <w:r w:rsidRPr="00F309DC">
        <w:rPr>
          <w:rFonts w:ascii="Book Antiqua" w:hAnsi="Book Antiqua"/>
        </w:rPr>
        <w:t>Met minimum scores on each evaluation dimension: Y</w:t>
      </w:r>
      <w:r w:rsidR="00A12AA7">
        <w:rPr>
          <w:rFonts w:ascii="Book Antiqua" w:hAnsi="Book Antiqua"/>
        </w:rPr>
        <w:t>ES</w:t>
      </w:r>
    </w:p>
    <w:p w:rsidR="005D26CD" w:rsidRPr="00F309DC" w:rsidRDefault="005D26CD" w:rsidP="005D26CD">
      <w:pPr>
        <w:pBdr>
          <w:bottom w:val="single" w:sz="4" w:space="1" w:color="auto"/>
        </w:pBdr>
        <w:rPr>
          <w:b/>
        </w:rPr>
      </w:pPr>
      <w:r w:rsidRPr="00F309DC">
        <w:rPr>
          <w:b/>
        </w:rPr>
        <w:t>Additional Comments</w:t>
      </w:r>
    </w:p>
    <w:sectPr w:rsidR="005D26CD" w:rsidRPr="00F309D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6CD" w:rsidRDefault="005D26CD" w:rsidP="005D26CD">
      <w:pPr>
        <w:spacing w:after="0"/>
      </w:pPr>
      <w:r>
        <w:separator/>
      </w:r>
    </w:p>
  </w:endnote>
  <w:endnote w:type="continuationSeparator" w:id="0">
    <w:p w:rsidR="005D26CD" w:rsidRDefault="005D26CD" w:rsidP="005D2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116444"/>
      <w:docPartObj>
        <w:docPartGallery w:val="Page Numbers (Bottom of Page)"/>
        <w:docPartUnique/>
      </w:docPartObj>
    </w:sdtPr>
    <w:sdtEndPr>
      <w:rPr>
        <w:noProof/>
      </w:rPr>
    </w:sdtEndPr>
    <w:sdtContent>
      <w:p w:rsidR="00A12AA7" w:rsidRDefault="00A12AA7">
        <w:pPr>
          <w:pStyle w:val="Footer"/>
          <w:jc w:val="center"/>
        </w:pPr>
        <w:r>
          <w:fldChar w:fldCharType="begin"/>
        </w:r>
        <w:r>
          <w:instrText xml:space="preserve"> PAGE   \* MERGEFORMAT </w:instrText>
        </w:r>
        <w:r>
          <w:fldChar w:fldCharType="separate"/>
        </w:r>
        <w:r w:rsidR="00921ECA">
          <w:rPr>
            <w:noProof/>
          </w:rPr>
          <w:t>1</w:t>
        </w:r>
        <w:r>
          <w:rPr>
            <w:noProof/>
          </w:rPr>
          <w:fldChar w:fldCharType="end"/>
        </w:r>
      </w:p>
    </w:sdtContent>
  </w:sdt>
  <w:p w:rsidR="00A12AA7" w:rsidRDefault="00A12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6CD" w:rsidRDefault="005D26CD" w:rsidP="005D26CD">
      <w:pPr>
        <w:spacing w:after="0"/>
      </w:pPr>
      <w:r>
        <w:separator/>
      </w:r>
    </w:p>
  </w:footnote>
  <w:footnote w:type="continuationSeparator" w:id="0">
    <w:p w:rsidR="005D26CD" w:rsidRDefault="005D26CD" w:rsidP="005D26CD">
      <w:pPr>
        <w:spacing w:after="0"/>
      </w:pPr>
      <w:r>
        <w:continuationSeparator/>
      </w:r>
    </w:p>
  </w:footnote>
  <w:footnote w:id="1">
    <w:p w:rsidR="00E415EF" w:rsidRDefault="00E415EF" w:rsidP="00D91DC2">
      <w:pPr>
        <w:pStyle w:val="FootnoteText"/>
        <w:spacing w:after="0"/>
      </w:pPr>
      <w:r>
        <w:rPr>
          <w:rStyle w:val="FootnoteReference"/>
        </w:rPr>
        <w:footnoteRef/>
      </w:r>
      <w:r>
        <w:t xml:space="preserve"> </w:t>
      </w:r>
      <w:hyperlink r:id="rId1" w:history="1">
        <w:r w:rsidRPr="00E415EF">
          <w:rPr>
            <w:rStyle w:val="Hyperlink"/>
          </w:rPr>
          <w:t>http://www.uspreventiveservicestaskforce.org/3rduspstf/depression/depressrr.htm</w:t>
        </w:r>
      </w:hyperlink>
    </w:p>
  </w:footnote>
  <w:footnote w:id="2">
    <w:p w:rsidR="00213953" w:rsidRDefault="00213953" w:rsidP="00D91DC2">
      <w:pPr>
        <w:pStyle w:val="FootnoteText"/>
        <w:spacing w:after="0"/>
      </w:pPr>
      <w:r>
        <w:rPr>
          <w:rStyle w:val="FootnoteReference"/>
        </w:rPr>
        <w:footnoteRef/>
      </w:r>
      <w:r>
        <w:t xml:space="preserve"> </w:t>
      </w:r>
      <w:hyperlink r:id="rId2" w:history="1">
        <w:r w:rsidRPr="009310F3">
          <w:rPr>
            <w:rStyle w:val="Hyperlink"/>
          </w:rPr>
          <w:t>http://www.cms.gov/Regulations-</w:t>
        </w:r>
        <w:r w:rsidRPr="00D91DC2">
          <w:t>and</w:t>
        </w:r>
        <w:r w:rsidRPr="009310F3">
          <w:rPr>
            <w:rStyle w:val="Hyperlink"/>
          </w:rPr>
          <w:t>-Guidance/Legislation/EHRIncentivePrograms/Downloads/2014_CQM_AdultRecommend_CoreSetTable.pdf</w:t>
        </w:r>
      </w:hyperlink>
    </w:p>
  </w:footnote>
  <w:footnote w:id="3">
    <w:p w:rsidR="00213953" w:rsidRDefault="00213953" w:rsidP="00D91DC2">
      <w:pPr>
        <w:pStyle w:val="FootnoteText"/>
        <w:spacing w:after="0"/>
      </w:pPr>
      <w:r>
        <w:rPr>
          <w:rStyle w:val="FootnoteReference"/>
        </w:rPr>
        <w:footnoteRef/>
      </w:r>
      <w:r>
        <w:t xml:space="preserve"> </w:t>
      </w:r>
      <w:r w:rsidRPr="00213953">
        <w:t>http://www.cms.gov/Medicare/Quality-Initiatives-Patient-Assessment-Instruments/PQRS/MeasuresCodes.htm</w:t>
      </w:r>
    </w:p>
  </w:footnote>
  <w:footnote w:id="4">
    <w:p w:rsidR="00E415EF" w:rsidRDefault="00E415EF">
      <w:pPr>
        <w:pStyle w:val="FootnoteText"/>
      </w:pPr>
      <w:r>
        <w:rPr>
          <w:rStyle w:val="FootnoteReference"/>
        </w:rPr>
        <w:footnoteRef/>
      </w:r>
      <w:r>
        <w:t xml:space="preserve"> </w:t>
      </w:r>
      <w:proofErr w:type="spellStart"/>
      <w:r>
        <w:t>Luchins</w:t>
      </w:r>
      <w:proofErr w:type="spellEnd"/>
      <w:r>
        <w:t xml:space="preserve">, DJ. </w:t>
      </w:r>
      <w:proofErr w:type="gramStart"/>
      <w:r>
        <w:t>Depression screening as a quality indicator.</w:t>
      </w:r>
      <w:proofErr w:type="gramEnd"/>
      <w:r>
        <w:t xml:space="preserve"> </w:t>
      </w:r>
      <w:r w:rsidR="00BC4C60" w:rsidRPr="00BC4C60">
        <w:t>Mental Health in Family Medicine 2010</w:t>
      </w:r>
      <w:proofErr w:type="gramStart"/>
      <w:r w:rsidR="00BC4C60" w:rsidRPr="00BC4C60">
        <w:t>;7:107</w:t>
      </w:r>
      <w:proofErr w:type="gramEnd"/>
      <w:r w:rsidR="00BC4C60" w:rsidRPr="00BC4C60">
        <w:t>–13</w:t>
      </w:r>
      <w:r w:rsidR="00BC4C6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7E4E"/>
    <w:multiLevelType w:val="hybridMultilevel"/>
    <w:tmpl w:val="77E64E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16819"/>
    <w:multiLevelType w:val="hybridMultilevel"/>
    <w:tmpl w:val="C98E0B0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54A76"/>
    <w:multiLevelType w:val="hybridMultilevel"/>
    <w:tmpl w:val="1BD8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A574FC"/>
    <w:multiLevelType w:val="hybridMultilevel"/>
    <w:tmpl w:val="7570A7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91EA1"/>
    <w:multiLevelType w:val="hybridMultilevel"/>
    <w:tmpl w:val="6172B9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5AA6D2C"/>
    <w:multiLevelType w:val="hybridMultilevel"/>
    <w:tmpl w:val="E3A022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BE4879"/>
    <w:multiLevelType w:val="hybridMultilevel"/>
    <w:tmpl w:val="A900D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477DC2"/>
    <w:multiLevelType w:val="hybridMultilevel"/>
    <w:tmpl w:val="8AEAB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C472E5"/>
    <w:multiLevelType w:val="hybridMultilevel"/>
    <w:tmpl w:val="5192BE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A3216"/>
    <w:multiLevelType w:val="hybridMultilevel"/>
    <w:tmpl w:val="486A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5B581B"/>
    <w:multiLevelType w:val="hybridMultilevel"/>
    <w:tmpl w:val="99861E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0759FC"/>
    <w:multiLevelType w:val="hybridMultilevel"/>
    <w:tmpl w:val="A754B7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6C56EB"/>
    <w:multiLevelType w:val="hybridMultilevel"/>
    <w:tmpl w:val="63507A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6"/>
  </w:num>
  <w:num w:numId="3">
    <w:abstractNumId w:val="9"/>
  </w:num>
  <w:num w:numId="4">
    <w:abstractNumId w:val="8"/>
  </w:num>
  <w:num w:numId="5">
    <w:abstractNumId w:val="7"/>
  </w:num>
  <w:num w:numId="6">
    <w:abstractNumId w:val="11"/>
  </w:num>
  <w:num w:numId="7">
    <w:abstractNumId w:val="5"/>
  </w:num>
  <w:num w:numId="8">
    <w:abstractNumId w:val="3"/>
  </w:num>
  <w:num w:numId="9">
    <w:abstractNumId w:val="1"/>
  </w:num>
  <w:num w:numId="10">
    <w:abstractNumId w:val="4"/>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CD"/>
    <w:rsid w:val="00213953"/>
    <w:rsid w:val="005D26CD"/>
    <w:rsid w:val="0080757F"/>
    <w:rsid w:val="00921ECA"/>
    <w:rsid w:val="00A07203"/>
    <w:rsid w:val="00A12AA7"/>
    <w:rsid w:val="00BC4C60"/>
    <w:rsid w:val="00D01EAC"/>
    <w:rsid w:val="00D91DC2"/>
    <w:rsid w:val="00E4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CD"/>
    <w:pPr>
      <w:spacing w:after="240" w:line="240" w:lineRule="auto"/>
    </w:pPr>
    <w:rPr>
      <w:rFonts w:ascii="Book Antiqua" w:eastAsia="Times New Roman" w:hAnsi="Book Antiqua" w:cs="Times New Roman"/>
      <w:szCs w:val="24"/>
    </w:rPr>
  </w:style>
  <w:style w:type="paragraph" w:styleId="Heading2">
    <w:name w:val="heading 2"/>
    <w:basedOn w:val="Normal"/>
    <w:next w:val="BodyText"/>
    <w:link w:val="Heading2Char"/>
    <w:qFormat/>
    <w:rsid w:val="005D26CD"/>
    <w:pPr>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26CD"/>
    <w:rPr>
      <w:rFonts w:ascii="Book Antiqua" w:eastAsia="Times New Roman" w:hAnsi="Book Antiqua" w:cs="Times New Roman"/>
      <w:b/>
      <w:szCs w:val="24"/>
    </w:rPr>
  </w:style>
  <w:style w:type="paragraph" w:styleId="ListParagraph">
    <w:name w:val="List Paragraph"/>
    <w:basedOn w:val="Normal"/>
    <w:uiPriority w:val="34"/>
    <w:qFormat/>
    <w:rsid w:val="005D26CD"/>
    <w:pPr>
      <w:spacing w:after="200" w:line="276" w:lineRule="auto"/>
      <w:ind w:left="720"/>
      <w:contextualSpacing/>
    </w:pPr>
    <w:rPr>
      <w:rFonts w:ascii="Calibri" w:eastAsia="Calibri" w:hAnsi="Calibri"/>
      <w:szCs w:val="22"/>
    </w:rPr>
  </w:style>
  <w:style w:type="paragraph" w:styleId="FootnoteText">
    <w:name w:val="footnote text"/>
    <w:basedOn w:val="Normal"/>
    <w:link w:val="FootnoteTextChar"/>
    <w:rsid w:val="005D26CD"/>
    <w:rPr>
      <w:sz w:val="20"/>
      <w:szCs w:val="20"/>
    </w:rPr>
  </w:style>
  <w:style w:type="character" w:customStyle="1" w:styleId="FootnoteTextChar">
    <w:name w:val="Footnote Text Char"/>
    <w:basedOn w:val="DefaultParagraphFont"/>
    <w:link w:val="FootnoteText"/>
    <w:rsid w:val="005D26CD"/>
    <w:rPr>
      <w:rFonts w:ascii="Book Antiqua" w:eastAsia="Times New Roman" w:hAnsi="Book Antiqua" w:cs="Times New Roman"/>
      <w:sz w:val="20"/>
      <w:szCs w:val="20"/>
    </w:rPr>
  </w:style>
  <w:style w:type="character" w:styleId="FootnoteReference">
    <w:name w:val="footnote reference"/>
    <w:rsid w:val="005D26CD"/>
    <w:rPr>
      <w:vertAlign w:val="superscript"/>
    </w:rPr>
  </w:style>
  <w:style w:type="character" w:styleId="Hyperlink">
    <w:name w:val="Hyperlink"/>
    <w:uiPriority w:val="99"/>
    <w:unhideWhenUsed/>
    <w:rsid w:val="005D26CD"/>
    <w:rPr>
      <w:color w:val="0000FF"/>
      <w:u w:val="single"/>
    </w:rPr>
  </w:style>
  <w:style w:type="paragraph" w:styleId="BodyText">
    <w:name w:val="Body Text"/>
    <w:basedOn w:val="Normal"/>
    <w:link w:val="BodyTextChar"/>
    <w:uiPriority w:val="99"/>
    <w:unhideWhenUsed/>
    <w:rsid w:val="005D26CD"/>
    <w:pPr>
      <w:spacing w:after="120"/>
    </w:pPr>
  </w:style>
  <w:style w:type="character" w:customStyle="1" w:styleId="BodyTextChar">
    <w:name w:val="Body Text Char"/>
    <w:basedOn w:val="DefaultParagraphFont"/>
    <w:link w:val="BodyText"/>
    <w:uiPriority w:val="99"/>
    <w:rsid w:val="005D26CD"/>
    <w:rPr>
      <w:rFonts w:ascii="Book Antiqua" w:eastAsia="Times New Roman" w:hAnsi="Book Antiqua" w:cs="Times New Roman"/>
      <w:szCs w:val="24"/>
    </w:rPr>
  </w:style>
  <w:style w:type="character" w:styleId="FollowedHyperlink">
    <w:name w:val="FollowedHyperlink"/>
    <w:basedOn w:val="DefaultParagraphFont"/>
    <w:uiPriority w:val="99"/>
    <w:semiHidden/>
    <w:unhideWhenUsed/>
    <w:rsid w:val="00E415EF"/>
    <w:rPr>
      <w:color w:val="800080" w:themeColor="followedHyperlink"/>
      <w:u w:val="single"/>
    </w:rPr>
  </w:style>
  <w:style w:type="paragraph" w:styleId="Header">
    <w:name w:val="header"/>
    <w:basedOn w:val="Normal"/>
    <w:link w:val="HeaderChar"/>
    <w:uiPriority w:val="99"/>
    <w:unhideWhenUsed/>
    <w:rsid w:val="00A12AA7"/>
    <w:pPr>
      <w:tabs>
        <w:tab w:val="center" w:pos="4680"/>
        <w:tab w:val="right" w:pos="9360"/>
      </w:tabs>
      <w:spacing w:after="0"/>
    </w:pPr>
  </w:style>
  <w:style w:type="character" w:customStyle="1" w:styleId="HeaderChar">
    <w:name w:val="Header Char"/>
    <w:basedOn w:val="DefaultParagraphFont"/>
    <w:link w:val="Header"/>
    <w:uiPriority w:val="99"/>
    <w:rsid w:val="00A12AA7"/>
    <w:rPr>
      <w:rFonts w:ascii="Book Antiqua" w:eastAsia="Times New Roman" w:hAnsi="Book Antiqua" w:cs="Times New Roman"/>
      <w:szCs w:val="24"/>
    </w:rPr>
  </w:style>
  <w:style w:type="paragraph" w:styleId="Footer">
    <w:name w:val="footer"/>
    <w:basedOn w:val="Normal"/>
    <w:link w:val="FooterChar"/>
    <w:uiPriority w:val="99"/>
    <w:unhideWhenUsed/>
    <w:rsid w:val="00A12AA7"/>
    <w:pPr>
      <w:tabs>
        <w:tab w:val="center" w:pos="4680"/>
        <w:tab w:val="right" w:pos="9360"/>
      </w:tabs>
      <w:spacing w:after="0"/>
    </w:pPr>
  </w:style>
  <w:style w:type="character" w:customStyle="1" w:styleId="FooterChar">
    <w:name w:val="Footer Char"/>
    <w:basedOn w:val="DefaultParagraphFont"/>
    <w:link w:val="Footer"/>
    <w:uiPriority w:val="99"/>
    <w:rsid w:val="00A12AA7"/>
    <w:rPr>
      <w:rFonts w:ascii="Book Antiqua" w:eastAsia="Times New Roman" w:hAnsi="Book Antiqu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CD"/>
    <w:pPr>
      <w:spacing w:after="240" w:line="240" w:lineRule="auto"/>
    </w:pPr>
    <w:rPr>
      <w:rFonts w:ascii="Book Antiqua" w:eastAsia="Times New Roman" w:hAnsi="Book Antiqua" w:cs="Times New Roman"/>
      <w:szCs w:val="24"/>
    </w:rPr>
  </w:style>
  <w:style w:type="paragraph" w:styleId="Heading2">
    <w:name w:val="heading 2"/>
    <w:basedOn w:val="Normal"/>
    <w:next w:val="BodyText"/>
    <w:link w:val="Heading2Char"/>
    <w:qFormat/>
    <w:rsid w:val="005D26CD"/>
    <w:pPr>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26CD"/>
    <w:rPr>
      <w:rFonts w:ascii="Book Antiqua" w:eastAsia="Times New Roman" w:hAnsi="Book Antiqua" w:cs="Times New Roman"/>
      <w:b/>
      <w:szCs w:val="24"/>
    </w:rPr>
  </w:style>
  <w:style w:type="paragraph" w:styleId="ListParagraph">
    <w:name w:val="List Paragraph"/>
    <w:basedOn w:val="Normal"/>
    <w:uiPriority w:val="34"/>
    <w:qFormat/>
    <w:rsid w:val="005D26CD"/>
    <w:pPr>
      <w:spacing w:after="200" w:line="276" w:lineRule="auto"/>
      <w:ind w:left="720"/>
      <w:contextualSpacing/>
    </w:pPr>
    <w:rPr>
      <w:rFonts w:ascii="Calibri" w:eastAsia="Calibri" w:hAnsi="Calibri"/>
      <w:szCs w:val="22"/>
    </w:rPr>
  </w:style>
  <w:style w:type="paragraph" w:styleId="FootnoteText">
    <w:name w:val="footnote text"/>
    <w:basedOn w:val="Normal"/>
    <w:link w:val="FootnoteTextChar"/>
    <w:rsid w:val="005D26CD"/>
    <w:rPr>
      <w:sz w:val="20"/>
      <w:szCs w:val="20"/>
    </w:rPr>
  </w:style>
  <w:style w:type="character" w:customStyle="1" w:styleId="FootnoteTextChar">
    <w:name w:val="Footnote Text Char"/>
    <w:basedOn w:val="DefaultParagraphFont"/>
    <w:link w:val="FootnoteText"/>
    <w:rsid w:val="005D26CD"/>
    <w:rPr>
      <w:rFonts w:ascii="Book Antiqua" w:eastAsia="Times New Roman" w:hAnsi="Book Antiqua" w:cs="Times New Roman"/>
      <w:sz w:val="20"/>
      <w:szCs w:val="20"/>
    </w:rPr>
  </w:style>
  <w:style w:type="character" w:styleId="FootnoteReference">
    <w:name w:val="footnote reference"/>
    <w:rsid w:val="005D26CD"/>
    <w:rPr>
      <w:vertAlign w:val="superscript"/>
    </w:rPr>
  </w:style>
  <w:style w:type="character" w:styleId="Hyperlink">
    <w:name w:val="Hyperlink"/>
    <w:uiPriority w:val="99"/>
    <w:unhideWhenUsed/>
    <w:rsid w:val="005D26CD"/>
    <w:rPr>
      <w:color w:val="0000FF"/>
      <w:u w:val="single"/>
    </w:rPr>
  </w:style>
  <w:style w:type="paragraph" w:styleId="BodyText">
    <w:name w:val="Body Text"/>
    <w:basedOn w:val="Normal"/>
    <w:link w:val="BodyTextChar"/>
    <w:uiPriority w:val="99"/>
    <w:unhideWhenUsed/>
    <w:rsid w:val="005D26CD"/>
    <w:pPr>
      <w:spacing w:after="120"/>
    </w:pPr>
  </w:style>
  <w:style w:type="character" w:customStyle="1" w:styleId="BodyTextChar">
    <w:name w:val="Body Text Char"/>
    <w:basedOn w:val="DefaultParagraphFont"/>
    <w:link w:val="BodyText"/>
    <w:uiPriority w:val="99"/>
    <w:rsid w:val="005D26CD"/>
    <w:rPr>
      <w:rFonts w:ascii="Book Antiqua" w:eastAsia="Times New Roman" w:hAnsi="Book Antiqua" w:cs="Times New Roman"/>
      <w:szCs w:val="24"/>
    </w:rPr>
  </w:style>
  <w:style w:type="character" w:styleId="FollowedHyperlink">
    <w:name w:val="FollowedHyperlink"/>
    <w:basedOn w:val="DefaultParagraphFont"/>
    <w:uiPriority w:val="99"/>
    <w:semiHidden/>
    <w:unhideWhenUsed/>
    <w:rsid w:val="00E415EF"/>
    <w:rPr>
      <w:color w:val="800080" w:themeColor="followedHyperlink"/>
      <w:u w:val="single"/>
    </w:rPr>
  </w:style>
  <w:style w:type="paragraph" w:styleId="Header">
    <w:name w:val="header"/>
    <w:basedOn w:val="Normal"/>
    <w:link w:val="HeaderChar"/>
    <w:uiPriority w:val="99"/>
    <w:unhideWhenUsed/>
    <w:rsid w:val="00A12AA7"/>
    <w:pPr>
      <w:tabs>
        <w:tab w:val="center" w:pos="4680"/>
        <w:tab w:val="right" w:pos="9360"/>
      </w:tabs>
      <w:spacing w:after="0"/>
    </w:pPr>
  </w:style>
  <w:style w:type="character" w:customStyle="1" w:styleId="HeaderChar">
    <w:name w:val="Header Char"/>
    <w:basedOn w:val="DefaultParagraphFont"/>
    <w:link w:val="Header"/>
    <w:uiPriority w:val="99"/>
    <w:rsid w:val="00A12AA7"/>
    <w:rPr>
      <w:rFonts w:ascii="Book Antiqua" w:eastAsia="Times New Roman" w:hAnsi="Book Antiqua" w:cs="Times New Roman"/>
      <w:szCs w:val="24"/>
    </w:rPr>
  </w:style>
  <w:style w:type="paragraph" w:styleId="Footer">
    <w:name w:val="footer"/>
    <w:basedOn w:val="Normal"/>
    <w:link w:val="FooterChar"/>
    <w:uiPriority w:val="99"/>
    <w:unhideWhenUsed/>
    <w:rsid w:val="00A12AA7"/>
    <w:pPr>
      <w:tabs>
        <w:tab w:val="center" w:pos="4680"/>
        <w:tab w:val="right" w:pos="9360"/>
      </w:tabs>
      <w:spacing w:after="0"/>
    </w:pPr>
  </w:style>
  <w:style w:type="character" w:customStyle="1" w:styleId="FooterChar">
    <w:name w:val="Footer Char"/>
    <w:basedOn w:val="DefaultParagraphFont"/>
    <w:link w:val="Footer"/>
    <w:uiPriority w:val="99"/>
    <w:rsid w:val="00A12AA7"/>
    <w:rPr>
      <w:rFonts w:ascii="Book Antiqua" w:eastAsia="Times New Roman" w:hAnsi="Book Antiqu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uspreventiveservicestaskforce.org/3rduspstf/depression/depressrr.htm"/>
  <Relationship Id="rId2" Type="http://schemas.openxmlformats.org/officeDocument/2006/relationships/hyperlink" TargetMode="External" Target="http://www.cms.gov/Regulations-and-Guidance/Legislation/EHRIncentivePrograms/Downloads/2014_CQM_AdultRecommend_CoreSetTable.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2E177-38A9-46D5-97BE-6AFE9B68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Lewin Group</Company>
  <LinksUpToDate>false</LinksUpToDate>
  <CharactersWithSpaces>3276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2013-10-17T17:12:00Z</dcterms:created>
  <dc:creator>Tim Prinz</dc:creator>
  <lastModifiedBy>Cristi Carman</lastModifiedBy>
  <dcterms:modified xsi:type="dcterms:W3CDTF">2013-10-17T17:12:00Z</dcterms:modified>
  <revision>2</revision>
</coreProperties>
</file>