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846"/>
        <w:tblW w:w="13176" w:type="dxa"/>
        <w:tblLook w:val="04A0" w:firstRow="1" w:lastRow="0" w:firstColumn="1" w:lastColumn="0" w:noHBand="0" w:noVBand="1"/>
      </w:tblPr>
      <w:tblGrid>
        <w:gridCol w:w="648"/>
        <w:gridCol w:w="6930"/>
        <w:gridCol w:w="1080"/>
        <w:gridCol w:w="2160"/>
        <w:gridCol w:w="2358"/>
      </w:tblGrid>
      <w:tr w:rsidR="009C516B" w:rsidRPr="00B047CC" w:rsidTr="00597711">
        <w:trPr>
          <w:trHeight w:val="145"/>
        </w:trPr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:rsidR="009C516B" w:rsidRDefault="009C516B" w:rsidP="00597711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#</w:t>
            </w:r>
          </w:p>
        </w:tc>
        <w:tc>
          <w:tcPr>
            <w:tcW w:w="69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C516B" w:rsidRPr="00CB7E7C" w:rsidRDefault="009C516B" w:rsidP="00F029D8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Measure Name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516B" w:rsidRPr="00CB7E7C" w:rsidRDefault="009C516B" w:rsidP="00F02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7E7C">
              <w:rPr>
                <w:rFonts w:ascii="Arial" w:hAnsi="Arial" w:cs="Arial"/>
                <w:color w:val="F6911E"/>
                <w:sz w:val="28"/>
                <w:szCs w:val="28"/>
              </w:rPr>
              <w:t>NQF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C516B" w:rsidRPr="00CB7E7C" w:rsidRDefault="009C516B" w:rsidP="00F029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7E7C">
              <w:rPr>
                <w:rFonts w:ascii="Arial" w:hAnsi="Arial" w:cs="Arial"/>
                <w:color w:val="F6911E"/>
                <w:sz w:val="28"/>
                <w:szCs w:val="28"/>
              </w:rPr>
              <w:t>Steward</w:t>
            </w: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</w:tcPr>
          <w:p w:rsidR="009C516B" w:rsidRPr="00CB7E7C" w:rsidRDefault="009C516B" w:rsidP="00F029D8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Submitter</w:t>
            </w:r>
          </w:p>
        </w:tc>
      </w:tr>
      <w:tr w:rsidR="009C516B" w:rsidRPr="00B047CC" w:rsidTr="00597711">
        <w:trPr>
          <w:trHeight w:val="485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Influenza vaccination coverage among healthcare personnel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0431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CDC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HBIPS-2: Hours of physical constraint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0640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Joint Commission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HBIPS-3: Hours of seclusion use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0641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Joint Commission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SUB-1: Alcohol use screening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1661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Joint Commission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50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Median time to transfer to another facility for acute coronary intervention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0290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CMS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440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Aspirin at arrival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0286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CMS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Median time to ECG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0289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CMS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Thorax CT – Use of contrast material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0513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CMS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48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9C516B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Cardiac imaging for preoperative risk assessment for non-cardiac, low risk surgery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0669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CMS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shd w:val="clear" w:color="auto" w:fill="auto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Acute stroke mortality rate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0467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AHRQ</w:t>
            </w:r>
          </w:p>
        </w:tc>
        <w:tc>
          <w:tcPr>
            <w:tcW w:w="2358" w:type="dxa"/>
            <w:shd w:val="clear" w:color="auto" w:fill="auto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638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HBIPS-1: Admission screening for violence risk, substance use, psychological trauma history and patient strengths completed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1922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Joint Commission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39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SCARED: Screen for child anxiety related disorders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Julianne Walsh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Bridgewater Pediatric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Prescriber prescription drug monitoring compliance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MDPH</w:t>
            </w:r>
          </w:p>
        </w:tc>
        <w:tc>
          <w:tcPr>
            <w:tcW w:w="2358" w:type="dxa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Fillo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DPH</w:t>
            </w:r>
          </w:p>
        </w:tc>
      </w:tr>
      <w:tr w:rsidR="009C516B" w:rsidRPr="00B047CC" w:rsidTr="00597711">
        <w:trPr>
          <w:trHeight w:val="593"/>
        </w:trPr>
        <w:tc>
          <w:tcPr>
            <w:tcW w:w="648" w:type="dxa"/>
            <w:shd w:val="clear" w:color="auto" w:fill="auto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Substance use disorder evaluation in the ED following naloxone administration and suspected substance use disorder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MDPH</w:t>
            </w:r>
          </w:p>
        </w:tc>
        <w:tc>
          <w:tcPr>
            <w:tcW w:w="2358" w:type="dxa"/>
            <w:shd w:val="clear" w:color="auto" w:fill="auto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Fillo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DPH</w:t>
            </w:r>
          </w:p>
        </w:tc>
      </w:tr>
      <w:tr w:rsidR="009C516B" w:rsidRPr="00B047CC" w:rsidTr="00597711">
        <w:trPr>
          <w:trHeight w:val="84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Child HCAHPS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2548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Center for Quality Improvement and Patient Safety – AHRQ</w:t>
            </w:r>
          </w:p>
        </w:tc>
        <w:tc>
          <w:tcPr>
            <w:tcW w:w="2358" w:type="dxa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Westfall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Boston Children’s Hospital</w:t>
            </w:r>
          </w:p>
        </w:tc>
      </w:tr>
      <w:tr w:rsidR="009C516B" w:rsidRPr="00B047CC" w:rsidTr="00597711">
        <w:trPr>
          <w:trHeight w:val="595"/>
        </w:trPr>
        <w:tc>
          <w:tcPr>
            <w:tcW w:w="648" w:type="dxa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Pediatric all-condition readmission measure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2393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Center for Excellence for Pediatric Quality Measurement</w:t>
            </w:r>
          </w:p>
        </w:tc>
        <w:tc>
          <w:tcPr>
            <w:tcW w:w="2358" w:type="dxa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Westfall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Boston Children’s Hospital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17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NHSN central line-associated bloodstream infection (CLABSI) outcome measure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0139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CDC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 Pimentel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Brigham &amp; Women’s Hospital</w:t>
            </w:r>
          </w:p>
        </w:tc>
      </w:tr>
      <w:tr w:rsidR="009C516B" w:rsidRPr="00B047CC" w:rsidTr="00597711">
        <w:trPr>
          <w:trHeight w:val="145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18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ACS-CDC harmonized procedure specific surgical site infection (SSI) outcome measure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0753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CDC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 Pimentel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Brigham &amp; Women’s Hospital</w:t>
            </w:r>
          </w:p>
        </w:tc>
      </w:tr>
      <w:tr w:rsidR="009C516B" w:rsidRPr="00B047CC" w:rsidTr="00597711">
        <w:trPr>
          <w:trHeight w:val="577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19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Weight assessment and counseling for nutrition and physical activity for children/adolescents (WCC)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0024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NCQA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Maurice Sahar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Neighborhood Health Plan</w:t>
            </w:r>
          </w:p>
        </w:tc>
      </w:tr>
      <w:tr w:rsidR="009C516B" w:rsidRPr="00B047CC" w:rsidTr="00597711">
        <w:trPr>
          <w:trHeight w:val="532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20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Well-child visits in the third, fourth, fifth, and sixth years of life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1516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NCQA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Maurice Sahar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Neighborhood Health Plan</w:t>
            </w:r>
          </w:p>
        </w:tc>
      </w:tr>
      <w:tr w:rsidR="009C516B" w:rsidRPr="00B047CC" w:rsidTr="00597711">
        <w:trPr>
          <w:trHeight w:val="513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21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Follow-up after hospitalization </w:t>
            </w:r>
            <w:r w:rsidRPr="009C516B">
              <w:rPr>
                <w:rFonts w:ascii="Arial" w:hAnsi="Arial" w:cs="Arial"/>
              </w:rPr>
              <w:t>for mental illness (FUH)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0576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NCQA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Safran</w:t>
            </w:r>
            <w:proofErr w:type="spellEnd"/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BCBSMA</w:t>
            </w:r>
          </w:p>
        </w:tc>
      </w:tr>
      <w:tr w:rsidR="009C516B" w:rsidRPr="00B047CC" w:rsidTr="00597711">
        <w:trPr>
          <w:trHeight w:val="513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22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Depression utilization of the PHQ-9 tool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0712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MN Community Measurement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Julianne Walsh</w:t>
            </w:r>
          </w:p>
          <w:p w:rsidR="009C516B" w:rsidRPr="009C516B" w:rsidRDefault="009C516B" w:rsidP="009C51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Bridgewater Pediatric</w:t>
            </w:r>
          </w:p>
        </w:tc>
      </w:tr>
      <w:tr w:rsidR="009C516B" w:rsidRPr="00B047CC" w:rsidTr="00597711">
        <w:trPr>
          <w:trHeight w:val="513"/>
        </w:trPr>
        <w:tc>
          <w:tcPr>
            <w:tcW w:w="648" w:type="dxa"/>
            <w:shd w:val="clear" w:color="auto" w:fill="EAF1DD" w:themeFill="accent3" w:themeFillTint="33"/>
            <w:vAlign w:val="center"/>
          </w:tcPr>
          <w:p w:rsidR="009C516B" w:rsidRPr="009C516B" w:rsidRDefault="009C516B" w:rsidP="00597711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23</w:t>
            </w:r>
          </w:p>
        </w:tc>
        <w:tc>
          <w:tcPr>
            <w:tcW w:w="693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Initiation and engagement of alcohol and other drug dependence treatment (IET)</w:t>
            </w:r>
          </w:p>
          <w:p w:rsidR="009C516B" w:rsidRPr="009C516B" w:rsidRDefault="009C516B" w:rsidP="00F029D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0004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 w:rsidRPr="009C516B">
              <w:rPr>
                <w:rFonts w:ascii="Arial" w:hAnsi="Arial" w:cs="Arial"/>
              </w:rPr>
              <w:t>NCQA</w:t>
            </w:r>
          </w:p>
        </w:tc>
        <w:tc>
          <w:tcPr>
            <w:tcW w:w="2358" w:type="dxa"/>
            <w:shd w:val="clear" w:color="auto" w:fill="EAF1DD" w:themeFill="accent3" w:themeFillTint="33"/>
          </w:tcPr>
          <w:p w:rsid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Fillo</w:t>
            </w:r>
          </w:p>
          <w:p w:rsidR="009C516B" w:rsidRPr="009C516B" w:rsidRDefault="009C516B" w:rsidP="00F029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DPH</w:t>
            </w:r>
          </w:p>
        </w:tc>
      </w:tr>
    </w:tbl>
    <w:p w:rsidR="009C516B" w:rsidRDefault="009C516B" w:rsidP="009C516B">
      <w:pPr>
        <w:tabs>
          <w:tab w:val="left" w:pos="108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1A7A7" wp14:editId="0F7993C1">
                <wp:simplePos x="0" y="0"/>
                <wp:positionH relativeFrom="column">
                  <wp:posOffset>-6127115</wp:posOffset>
                </wp:positionH>
                <wp:positionV relativeFrom="paragraph">
                  <wp:posOffset>4344035</wp:posOffset>
                </wp:positionV>
                <wp:extent cx="542925" cy="2095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82.45pt;margin-top:342.05pt;width:42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" fillcolor="#c2d69b [1942]" stroked="f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044"/>
      </w:tblGrid>
      <w:tr w:rsidR="009C516B" w:rsidTr="009C516B">
        <w:trPr>
          <w:trHeight w:val="311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C516B" w:rsidRDefault="009C516B" w:rsidP="009C516B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516B" w:rsidRDefault="009C516B" w:rsidP="009C516B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highlighted green are in the SQMS</w:t>
            </w:r>
          </w:p>
        </w:tc>
      </w:tr>
    </w:tbl>
    <w:p w:rsidR="0095505A" w:rsidRPr="009C516B" w:rsidRDefault="0095505A" w:rsidP="009C516B">
      <w:pPr>
        <w:tabs>
          <w:tab w:val="left" w:pos="1080"/>
        </w:tabs>
        <w:rPr>
          <w:rFonts w:ascii="Arial" w:hAnsi="Arial" w:cs="Arial"/>
        </w:rPr>
      </w:pPr>
      <w:bookmarkStart w:id="0" w:name="_GoBack"/>
      <w:bookmarkEnd w:id="0"/>
    </w:p>
    <w:sectPr w:rsidR="0095505A" w:rsidRPr="009C516B" w:rsidSect="009C516B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7C" w:rsidRDefault="00CB7E7C" w:rsidP="00CB7E7C">
      <w:pPr>
        <w:spacing w:after="0" w:line="240" w:lineRule="auto"/>
      </w:pPr>
      <w:r>
        <w:separator/>
      </w:r>
    </w:p>
  </w:endnote>
  <w:endnote w:type="continuationSeparator" w:id="0">
    <w:p w:rsidR="00CB7E7C" w:rsidRDefault="00CB7E7C" w:rsidP="00CB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92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16B" w:rsidRDefault="009C5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16B" w:rsidRDefault="009C5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575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16B" w:rsidRDefault="009C51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516B" w:rsidRDefault="009C5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7C" w:rsidRDefault="00CB7E7C" w:rsidP="00CB7E7C">
      <w:pPr>
        <w:spacing w:after="0" w:line="240" w:lineRule="auto"/>
      </w:pPr>
      <w:r>
        <w:separator/>
      </w:r>
    </w:p>
  </w:footnote>
  <w:footnote w:type="continuationSeparator" w:id="0">
    <w:p w:rsidR="00CB7E7C" w:rsidRDefault="00CB7E7C" w:rsidP="00CB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6B" w:rsidRDefault="009C516B">
    <w:pPr>
      <w:pStyle w:val="Head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Statewide Quality Advisory Committee</w:t>
    </w:r>
    <w:r>
      <w:rPr>
        <w:rFonts w:ascii="Arial" w:hAnsi="Arial" w:cs="Arial"/>
        <w:b/>
        <w:color w:val="002060"/>
        <w:sz w:val="32"/>
        <w:szCs w:val="32"/>
      </w:rPr>
      <w:tab/>
    </w:r>
    <w:r>
      <w:rPr>
        <w:rFonts w:ascii="Arial" w:hAnsi="Arial" w:cs="Arial"/>
        <w:b/>
        <w:color w:val="002060"/>
        <w:sz w:val="32"/>
        <w:szCs w:val="32"/>
      </w:rPr>
      <w:tab/>
    </w:r>
    <w:r>
      <w:rPr>
        <w:rFonts w:ascii="Arial" w:hAnsi="Arial" w:cs="Arial"/>
        <w:b/>
        <w:color w:val="002060"/>
        <w:sz w:val="32"/>
        <w:szCs w:val="32"/>
      </w:rPr>
      <w:tab/>
      <w:t>June 26, 2017</w:t>
    </w:r>
  </w:p>
  <w:p w:rsidR="008D12BD" w:rsidRPr="008D12BD" w:rsidRDefault="009C516B">
    <w:pPr>
      <w:pStyle w:val="Head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Quality Measures Nominated through Public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7C"/>
    <w:rsid w:val="00213497"/>
    <w:rsid w:val="004A68CB"/>
    <w:rsid w:val="004C12FC"/>
    <w:rsid w:val="00597711"/>
    <w:rsid w:val="008D12BD"/>
    <w:rsid w:val="0095505A"/>
    <w:rsid w:val="009C516B"/>
    <w:rsid w:val="00C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IATechAppendix">
    <w:name w:val="CHIA Tech Appendix"/>
    <w:basedOn w:val="TableNormal"/>
    <w:uiPriority w:val="99"/>
    <w:rsid w:val="00213497"/>
    <w:pPr>
      <w:spacing w:after="0" w:line="240" w:lineRule="auto"/>
    </w:pPr>
    <w:rPr>
      <w:rFonts w:ascii="Arial Narrow" w:eastAsia="Calibri" w:hAnsi="Arial Narrow" w:cs="Times New Roman"/>
      <w:sz w:val="20"/>
      <w:szCs w:val="20"/>
    </w:rPr>
    <w:tblPr>
      <w:tblStyleRowBandSize w:val="1"/>
    </w:tblPr>
    <w:trPr>
      <w:cantSplit/>
      <w:tblHeader/>
    </w:trPr>
    <w:tblStylePr w:type="firstRow">
      <w:rPr>
        <w:b/>
        <w:caps/>
        <w:smallCaps w:val="0"/>
      </w:rPr>
      <w:tblPr/>
      <w:tcPr>
        <w:tcBorders>
          <w:top w:val="nil"/>
          <w:left w:val="nil"/>
          <w:bottom w:val="single" w:sz="12" w:space="0" w:color="F6911E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5480"/>
          <w:left w:val="nil"/>
          <w:bottom w:val="single" w:sz="4" w:space="0" w:color="0054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B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7C"/>
  </w:style>
  <w:style w:type="paragraph" w:styleId="Footer">
    <w:name w:val="footer"/>
    <w:basedOn w:val="Normal"/>
    <w:link w:val="FooterChar"/>
    <w:uiPriority w:val="99"/>
    <w:unhideWhenUsed/>
    <w:rsid w:val="00CB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IATechAppendix">
    <w:name w:val="CHIA Tech Appendix"/>
    <w:basedOn w:val="TableNormal"/>
    <w:uiPriority w:val="99"/>
    <w:rsid w:val="00213497"/>
    <w:pPr>
      <w:spacing w:after="0" w:line="240" w:lineRule="auto"/>
    </w:pPr>
    <w:rPr>
      <w:rFonts w:ascii="Arial Narrow" w:eastAsia="Calibri" w:hAnsi="Arial Narrow" w:cs="Times New Roman"/>
      <w:sz w:val="20"/>
      <w:szCs w:val="20"/>
    </w:rPr>
    <w:tblPr>
      <w:tblStyleRowBandSize w:val="1"/>
    </w:tblPr>
    <w:trPr>
      <w:cantSplit/>
      <w:tblHeader/>
    </w:trPr>
    <w:tblStylePr w:type="firstRow">
      <w:rPr>
        <w:b/>
        <w:caps/>
        <w:smallCaps w:val="0"/>
      </w:rPr>
      <w:tblPr/>
      <w:tcPr>
        <w:tcBorders>
          <w:top w:val="nil"/>
          <w:left w:val="nil"/>
          <w:bottom w:val="single" w:sz="12" w:space="0" w:color="F6911E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5480"/>
          <w:left w:val="nil"/>
          <w:bottom w:val="single" w:sz="4" w:space="0" w:color="0054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B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7C"/>
  </w:style>
  <w:style w:type="paragraph" w:styleId="Footer">
    <w:name w:val="footer"/>
    <w:basedOn w:val="Normal"/>
    <w:link w:val="FooterChar"/>
    <w:uiPriority w:val="99"/>
    <w:unhideWhenUsed/>
    <w:rsid w:val="00CB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2017-06-23T19:01:00Z</dcterms:created>
  <dcterms:modified xsi:type="dcterms:W3CDTF">2017-06-23T19:22:00Z</dcterms:modified>
</cp:coreProperties>
</file>